
<file path=[Content_Types].xml><?xml version="1.0" encoding="utf-8"?>
<Types xmlns="http://schemas.openxmlformats.org/package/2006/content-types">
  <Default Extension="png" ContentType="image/png"/>
  <Override PartName="/word/footnotes.xml" ContentType="application/vnd.openxmlformats-officedocument.wordprocessingml.footnotes+xml"/>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A1EF5" w:rsidRDefault="007A1EF5">
      <w:pPr>
        <w:spacing w:line="360" w:lineRule="auto"/>
        <w:rPr>
          <w:rFonts w:ascii="Calibri" w:hAnsi="Calibri" w:cs="Arial"/>
          <w:sz w:val="64"/>
          <w:szCs w:val="64"/>
        </w:rPr>
      </w:pPr>
    </w:p>
    <w:p w:rsidR="007A1EF5" w:rsidRDefault="007A1EF5">
      <w:pPr>
        <w:spacing w:line="360" w:lineRule="auto"/>
        <w:rPr>
          <w:rFonts w:ascii="Calibri" w:hAnsi="Calibri" w:cs="Arial"/>
          <w:sz w:val="64"/>
          <w:szCs w:val="64"/>
        </w:rPr>
      </w:pPr>
    </w:p>
    <w:p w:rsidR="007A1EF5" w:rsidRDefault="007A1EF5">
      <w:pPr>
        <w:spacing w:line="360" w:lineRule="auto"/>
        <w:rPr>
          <w:rFonts w:ascii="Calibri" w:hAnsi="Calibri" w:cs="Arial"/>
          <w:sz w:val="64"/>
          <w:szCs w:val="64"/>
        </w:rPr>
      </w:pPr>
    </w:p>
    <w:p w:rsidR="007A1EF5" w:rsidRDefault="007A1EF5">
      <w:pPr>
        <w:spacing w:line="360" w:lineRule="auto"/>
        <w:rPr>
          <w:rFonts w:ascii="Calibri" w:hAnsi="Calibri" w:cs="Arial"/>
          <w:sz w:val="64"/>
          <w:szCs w:val="64"/>
        </w:rPr>
      </w:pPr>
    </w:p>
    <w:p w:rsidR="007A1EF5" w:rsidRPr="0089371A" w:rsidRDefault="007A1EF5">
      <w:pPr>
        <w:spacing w:line="360" w:lineRule="auto"/>
        <w:rPr>
          <w:rFonts w:ascii="Calibri" w:hAnsi="Calibri" w:cs="Arial"/>
          <w:sz w:val="64"/>
          <w:szCs w:val="64"/>
        </w:rPr>
      </w:pPr>
      <w:r w:rsidRPr="0089371A">
        <w:rPr>
          <w:rFonts w:ascii="Calibri" w:hAnsi="Calibri" w:cs="Arial"/>
          <w:sz w:val="48"/>
          <w:szCs w:val="48"/>
        </w:rPr>
        <w:t>Stand: 17.3.2010</w:t>
      </w:r>
    </w:p>
    <w:p w:rsidR="007A1EF5" w:rsidRDefault="007A1EF5">
      <w:pPr>
        <w:spacing w:line="360" w:lineRule="auto"/>
        <w:rPr>
          <w:rFonts w:ascii="Calibri" w:hAnsi="Calibri" w:cs="Arial"/>
          <w:sz w:val="112"/>
          <w:szCs w:val="112"/>
        </w:rPr>
      </w:pPr>
      <w:r>
        <w:rPr>
          <w:rFonts w:ascii="Calibri" w:hAnsi="Calibri" w:cs="Arial"/>
          <w:sz w:val="112"/>
          <w:szCs w:val="112"/>
        </w:rPr>
        <w:t>Gerechte Teilhabe in Leverkusen</w:t>
      </w:r>
    </w:p>
    <w:p w:rsidR="007A1EF5" w:rsidRDefault="007A1EF5">
      <w:pPr>
        <w:spacing w:line="360" w:lineRule="auto"/>
        <w:rPr>
          <w:rFonts w:ascii="Calibri" w:hAnsi="Calibri" w:cs="Arial"/>
        </w:rPr>
      </w:pPr>
    </w:p>
    <w:p w:rsidR="007A1EF5" w:rsidRDefault="007A1EF5">
      <w:pPr>
        <w:spacing w:line="360" w:lineRule="auto"/>
        <w:rPr>
          <w:rFonts w:ascii="Calibri" w:hAnsi="Calibri" w:cs="Arial"/>
          <w:sz w:val="48"/>
          <w:szCs w:val="48"/>
        </w:rPr>
      </w:pPr>
      <w:r>
        <w:rPr>
          <w:rFonts w:ascii="Calibri" w:hAnsi="Calibri" w:cs="Arial"/>
          <w:sz w:val="48"/>
          <w:szCs w:val="48"/>
        </w:rPr>
        <w:t>Sozialbericht 2010 der Stadt Leverkusen</w:t>
      </w:r>
    </w:p>
    <w:p w:rsidR="007A1EF5" w:rsidRDefault="007A1EF5">
      <w:pPr>
        <w:spacing w:line="360" w:lineRule="auto"/>
        <w:rPr>
          <w:rFonts w:ascii="Calibri" w:hAnsi="Calibri" w:cs="Arial"/>
          <w:i/>
        </w:rPr>
      </w:pPr>
    </w:p>
    <w:p w:rsidR="007A1EF5" w:rsidRDefault="007A1EF5">
      <w:pPr>
        <w:spacing w:line="360" w:lineRule="auto"/>
        <w:rPr>
          <w:rFonts w:ascii="Calibri" w:hAnsi="Calibri" w:cs="Arial"/>
          <w:sz w:val="28"/>
          <w:szCs w:val="28"/>
        </w:rPr>
      </w:pPr>
      <w:r>
        <w:rPr>
          <w:rFonts w:ascii="Calibri" w:hAnsi="Calibri" w:cs="Arial"/>
        </w:rPr>
        <w:br w:type="page"/>
      </w:r>
      <w:r>
        <w:rPr>
          <w:rFonts w:ascii="Calibri" w:hAnsi="Calibri" w:cs="Arial"/>
          <w:sz w:val="28"/>
          <w:szCs w:val="28"/>
        </w:rPr>
        <w:t>Impressum</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Herausgeber:</w:t>
      </w:r>
    </w:p>
    <w:p w:rsidR="007A1EF5" w:rsidRDefault="007A1EF5">
      <w:pPr>
        <w:spacing w:line="360" w:lineRule="auto"/>
        <w:rPr>
          <w:rFonts w:ascii="Calibri" w:hAnsi="Calibri" w:cs="Arial"/>
        </w:rPr>
      </w:pPr>
      <w:r>
        <w:rPr>
          <w:rFonts w:ascii="Calibri" w:hAnsi="Calibri" w:cs="Arial"/>
        </w:rPr>
        <w:t>Stadt Leverkusen, Der Oberbürgermeister</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Verantwortlich:</w:t>
      </w:r>
    </w:p>
    <w:p w:rsidR="007A1EF5" w:rsidRDefault="007A1EF5">
      <w:pPr>
        <w:spacing w:line="360" w:lineRule="auto"/>
        <w:rPr>
          <w:rFonts w:ascii="Calibri" w:hAnsi="Calibri" w:cs="Arial"/>
        </w:rPr>
      </w:pPr>
      <w:r>
        <w:rPr>
          <w:rFonts w:ascii="Calibri" w:hAnsi="Calibri" w:cs="Arial"/>
        </w:rPr>
        <w:t>Frank Stein, Dezernent für Bürger, Umwelt und Soziales</w:t>
      </w:r>
    </w:p>
    <w:p w:rsidR="007A1EF5" w:rsidRDefault="007A1EF5">
      <w:pPr>
        <w:spacing w:line="360" w:lineRule="auto"/>
        <w:rPr>
          <w:rFonts w:ascii="Calibri" w:hAnsi="Calibri" w:cs="Arial"/>
        </w:rPr>
      </w:pPr>
      <w:r>
        <w:rPr>
          <w:rFonts w:ascii="Calibri" w:hAnsi="Calibri" w:cs="Arial"/>
        </w:rPr>
        <w:t>Helga Vogt, Leiterin des Fachbereichs Soziales</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Redaktion:</w:t>
      </w:r>
    </w:p>
    <w:p w:rsidR="007A1EF5" w:rsidRDefault="007A1EF5">
      <w:pPr>
        <w:spacing w:line="360" w:lineRule="auto"/>
        <w:rPr>
          <w:rFonts w:ascii="Calibri" w:hAnsi="Calibri" w:cs="Arial"/>
        </w:rPr>
      </w:pPr>
      <w:r>
        <w:rPr>
          <w:rFonts w:ascii="Calibri" w:hAnsi="Calibri" w:cs="Arial"/>
        </w:rPr>
        <w:t>Arbeitsgruppe Sozialplanung</w:t>
      </w:r>
    </w:p>
    <w:p w:rsidR="007A1EF5" w:rsidRDefault="007A1EF5">
      <w:pPr>
        <w:spacing w:line="360" w:lineRule="auto"/>
        <w:rPr>
          <w:rFonts w:ascii="Calibri" w:hAnsi="Calibri" w:cs="Arial"/>
        </w:rPr>
      </w:pPr>
      <w:r>
        <w:rPr>
          <w:rFonts w:ascii="Calibri" w:hAnsi="Calibri" w:cs="Arial"/>
        </w:rPr>
        <w:t xml:space="preserve">Christian Dohmen, Sozialplaner des Fachbereichs Soziales </w:t>
      </w:r>
      <w:r w:rsidRPr="0089371A">
        <w:rPr>
          <w:rFonts w:ascii="Calibri" w:hAnsi="Calibri" w:cs="Arial"/>
        </w:rPr>
        <w:t>(bis .September. 2009)</w:t>
      </w:r>
    </w:p>
    <w:p w:rsidR="007A1EF5" w:rsidRDefault="007A1EF5">
      <w:pPr>
        <w:spacing w:line="360" w:lineRule="auto"/>
        <w:rPr>
          <w:rFonts w:ascii="Calibri" w:hAnsi="Calibri" w:cs="Arial"/>
        </w:rPr>
      </w:pPr>
      <w:r>
        <w:rPr>
          <w:rFonts w:ascii="Calibri" w:hAnsi="Calibri" w:cs="Arial"/>
        </w:rPr>
        <w:t>Simone Fey Hoffmann, Frauenbüro</w:t>
      </w:r>
    </w:p>
    <w:p w:rsidR="007A1EF5" w:rsidRDefault="007A1EF5">
      <w:pPr>
        <w:spacing w:line="360" w:lineRule="auto"/>
        <w:rPr>
          <w:rFonts w:ascii="Calibri" w:hAnsi="Calibri" w:cs="Arial"/>
        </w:rPr>
      </w:pPr>
      <w:r>
        <w:rPr>
          <w:rFonts w:ascii="Calibri" w:hAnsi="Calibri" w:cs="Arial"/>
        </w:rPr>
        <w:t>Birgit Maaß, Statistikstelle</w:t>
      </w:r>
    </w:p>
    <w:p w:rsidR="007A1EF5" w:rsidRDefault="007A1EF5">
      <w:pPr>
        <w:spacing w:line="360" w:lineRule="auto"/>
        <w:rPr>
          <w:rFonts w:ascii="Calibri" w:hAnsi="Calibri" w:cs="Arial"/>
        </w:rPr>
      </w:pPr>
      <w:r>
        <w:rPr>
          <w:rFonts w:ascii="Calibri" w:hAnsi="Calibri" w:cs="Arial"/>
        </w:rPr>
        <w:t>Marius Marondel, Fachbereich Schulen</w:t>
      </w:r>
    </w:p>
    <w:p w:rsidR="007A1EF5" w:rsidRDefault="007A1EF5">
      <w:pPr>
        <w:spacing w:line="360" w:lineRule="auto"/>
        <w:rPr>
          <w:rFonts w:ascii="Calibri" w:hAnsi="Calibri" w:cs="Arial"/>
        </w:rPr>
      </w:pPr>
      <w:r>
        <w:rPr>
          <w:rFonts w:ascii="Calibri" w:hAnsi="Calibri" w:cs="Arial"/>
        </w:rPr>
        <w:t>Monika Mohr, Fachbereich Stadtentwicklung und Bauaufsicht</w:t>
      </w:r>
    </w:p>
    <w:p w:rsidR="007A1EF5" w:rsidRDefault="007A1EF5">
      <w:pPr>
        <w:spacing w:line="360" w:lineRule="auto"/>
        <w:rPr>
          <w:rFonts w:ascii="Calibri" w:hAnsi="Calibri" w:cs="Arial"/>
        </w:rPr>
      </w:pPr>
      <w:r>
        <w:rPr>
          <w:rFonts w:ascii="Calibri" w:hAnsi="Calibri" w:cs="Arial"/>
        </w:rPr>
        <w:t>Hans- Josef Nieder, Fachbereich Kinder und Jugend</w:t>
      </w:r>
    </w:p>
    <w:p w:rsidR="007A1EF5" w:rsidRDefault="007A1EF5">
      <w:pPr>
        <w:spacing w:line="360" w:lineRule="auto"/>
        <w:rPr>
          <w:rFonts w:ascii="Calibri" w:hAnsi="Calibri" w:cs="Arial"/>
        </w:rPr>
      </w:pPr>
      <w:r>
        <w:rPr>
          <w:rFonts w:ascii="Calibri" w:hAnsi="Calibri" w:cs="Arial"/>
        </w:rPr>
        <w:t>Andreas Laukötter, Arbeitsgemeinschaft Leverkusen (AGL)</w:t>
      </w:r>
    </w:p>
    <w:p w:rsidR="007A1EF5" w:rsidRDefault="007A1EF5">
      <w:pPr>
        <w:spacing w:line="360" w:lineRule="auto"/>
        <w:rPr>
          <w:rFonts w:ascii="Calibri" w:hAnsi="Calibri" w:cs="Arial"/>
        </w:rPr>
      </w:pPr>
      <w:r>
        <w:rPr>
          <w:rFonts w:ascii="Calibri" w:hAnsi="Calibri" w:cs="Arial"/>
        </w:rPr>
        <w:t>Hans Höroldt, Arbeitsgemeinschaft der Freien Wohlfahrtsverbände</w:t>
      </w:r>
    </w:p>
    <w:p w:rsidR="007A1EF5" w:rsidRDefault="007A1EF5">
      <w:pPr>
        <w:spacing w:line="360" w:lineRule="auto"/>
        <w:rPr>
          <w:rFonts w:ascii="Calibri" w:hAnsi="Calibri" w:cs="Arial"/>
        </w:rPr>
      </w:pPr>
      <w:r>
        <w:rPr>
          <w:rFonts w:ascii="Calibri" w:hAnsi="Calibri" w:cs="Arial"/>
        </w:rPr>
        <w:t>Helga Vogt, Fachbereich Soziales</w:t>
      </w:r>
    </w:p>
    <w:p w:rsidR="007A1EF5" w:rsidRDefault="007A1EF5">
      <w:pPr>
        <w:spacing w:line="360" w:lineRule="auto"/>
        <w:rPr>
          <w:rFonts w:ascii="Calibri" w:hAnsi="Calibri" w:cs="Arial"/>
        </w:rPr>
      </w:pPr>
      <w:r>
        <w:rPr>
          <w:rFonts w:ascii="Calibri" w:hAnsi="Calibri" w:cs="Arial"/>
        </w:rPr>
        <w:t>Konstantin von Normann, Universität Bonn, Institut für Lebensmittel und Ressourcenökonomik</w:t>
      </w:r>
    </w:p>
    <w:p w:rsidR="007A1EF5" w:rsidRDefault="007A1EF5">
      <w:pPr>
        <w:spacing w:line="360" w:lineRule="auto"/>
        <w:rPr>
          <w:rFonts w:ascii="Calibri" w:hAnsi="Calibri" w:cs="Arial"/>
        </w:rPr>
      </w:pPr>
      <w:r>
        <w:rPr>
          <w:rFonts w:ascii="Calibri" w:hAnsi="Calibri" w:cs="Arial"/>
        </w:rPr>
        <w:t>Carina Hartmann, Studentin im Studiengang Sozialwissenschaften der Bergischen Universität Wuppertal</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Leverkusen, Frühjahr 2010</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Nachfragen sind zu richten an:</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Stadt Leverkusen</w:t>
      </w:r>
    </w:p>
    <w:p w:rsidR="007A1EF5" w:rsidRDefault="007A1EF5">
      <w:pPr>
        <w:spacing w:line="360" w:lineRule="auto"/>
        <w:rPr>
          <w:rFonts w:ascii="Calibri" w:hAnsi="Calibri" w:cs="Arial"/>
        </w:rPr>
      </w:pPr>
      <w:r>
        <w:rPr>
          <w:rFonts w:ascii="Calibri" w:hAnsi="Calibri" w:cs="Arial"/>
        </w:rPr>
        <w:t>Fachbereich Soziales – Sozialplanung</w:t>
      </w:r>
    </w:p>
    <w:p w:rsidR="007A1EF5" w:rsidRDefault="007A1EF5">
      <w:pPr>
        <w:spacing w:line="360" w:lineRule="auto"/>
        <w:rPr>
          <w:rFonts w:ascii="Calibri" w:hAnsi="Calibri" w:cs="Arial"/>
        </w:rPr>
      </w:pPr>
      <w:r>
        <w:rPr>
          <w:rFonts w:ascii="Calibri" w:hAnsi="Calibri" w:cs="Arial"/>
        </w:rPr>
        <w:t>Postfach 10 11 40</w:t>
      </w:r>
    </w:p>
    <w:p w:rsidR="007A1EF5" w:rsidRDefault="007A1EF5">
      <w:pPr>
        <w:spacing w:line="360" w:lineRule="auto"/>
        <w:rPr>
          <w:rFonts w:ascii="Calibri" w:hAnsi="Calibri" w:cs="Arial"/>
        </w:rPr>
      </w:pPr>
      <w:r>
        <w:rPr>
          <w:rFonts w:ascii="Calibri" w:hAnsi="Calibri" w:cs="Arial"/>
        </w:rPr>
        <w:t>51311 Leverkusen</w:t>
      </w:r>
    </w:p>
    <w:p w:rsidR="007A1EF5" w:rsidRDefault="007A1EF5">
      <w:pPr>
        <w:spacing w:line="360" w:lineRule="auto"/>
        <w:rPr>
          <w:rFonts w:ascii="Calibri" w:hAnsi="Calibri" w:cs="Arial"/>
        </w:rPr>
      </w:pPr>
      <w:r>
        <w:rPr>
          <w:rFonts w:ascii="Calibri" w:hAnsi="Calibri" w:cs="Arial"/>
        </w:rPr>
        <w:t>Tel. 0214/406-5001</w:t>
      </w:r>
    </w:p>
    <w:p w:rsidR="007A1EF5" w:rsidRDefault="007A1EF5">
      <w:pPr>
        <w:spacing w:line="360" w:lineRule="auto"/>
        <w:rPr>
          <w:rFonts w:ascii="Calibri" w:hAnsi="Calibri" w:cs="Arial"/>
        </w:rPr>
      </w:pPr>
      <w:r>
        <w:rPr>
          <w:rFonts w:ascii="Calibri" w:hAnsi="Calibri" w:cs="Arial"/>
        </w:rPr>
        <w:t>E-Mail: helga.vogt@stadt.leverkusen.de</w:t>
      </w:r>
    </w:p>
    <w:p w:rsidR="007A1EF5" w:rsidRDefault="007A1EF5">
      <w:pPr>
        <w:spacing w:line="360" w:lineRule="auto"/>
        <w:jc w:val="both"/>
        <w:outlineLvl w:val="0"/>
        <w:rPr>
          <w:rFonts w:ascii="Calibri" w:hAnsi="Calibri"/>
        </w:rPr>
      </w:pPr>
    </w:p>
    <w:p w:rsidR="007A1EF5" w:rsidRDefault="007A1EF5">
      <w:pPr>
        <w:spacing w:line="360" w:lineRule="auto"/>
        <w:outlineLvl w:val="0"/>
        <w:rPr>
          <w:rFonts w:ascii="Calibri" w:hAnsi="Calibri" w:cs="Arial"/>
          <w:color w:val="FF0000"/>
          <w:sz w:val="28"/>
          <w:szCs w:val="28"/>
        </w:rPr>
      </w:pPr>
      <w:bookmarkStart w:id="0" w:name="_Toc205633845"/>
    </w:p>
    <w:p w:rsidR="007A1EF5" w:rsidRDefault="007A1EF5">
      <w:pPr>
        <w:spacing w:line="360" w:lineRule="auto"/>
        <w:outlineLvl w:val="0"/>
        <w:rPr>
          <w:rFonts w:ascii="Calibri" w:hAnsi="Calibri" w:cs="Arial"/>
          <w:sz w:val="28"/>
          <w:szCs w:val="28"/>
        </w:rPr>
      </w:pPr>
      <w:r>
        <w:rPr>
          <w:rFonts w:ascii="Calibri" w:hAnsi="Calibri" w:cs="Arial"/>
        </w:rPr>
        <w:br w:type="page"/>
      </w:r>
      <w:r>
        <w:rPr>
          <w:rFonts w:ascii="Calibri" w:hAnsi="Calibri" w:cs="Arial"/>
          <w:sz w:val="28"/>
          <w:szCs w:val="28"/>
        </w:rPr>
        <w:t>Inhaltsverzeichnis</w:t>
      </w:r>
      <w:bookmarkEnd w:id="0"/>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Vorwort</w:t>
      </w:r>
    </w:p>
    <w:p w:rsidR="007A1EF5" w:rsidRDefault="007A1EF5" w:rsidP="00FF7A34">
      <w:pPr>
        <w:numPr>
          <w:ilvl w:val="0"/>
          <w:numId w:val="49"/>
          <w:numberingChange w:id="1" w:author="STV-50-VOGT" w:date="2010-03-17T17:16:00Z" w:original="%1:1:1:."/>
        </w:numPr>
        <w:tabs>
          <w:tab w:val="clear" w:pos="1080"/>
          <w:tab w:val="num" w:pos="284"/>
        </w:tabs>
        <w:spacing w:line="360" w:lineRule="auto"/>
        <w:ind w:left="0" w:firstLine="0"/>
        <w:outlineLvl w:val="0"/>
        <w:rPr>
          <w:rFonts w:ascii="Calibri" w:hAnsi="Calibri" w:cs="Arial"/>
        </w:rPr>
      </w:pPr>
      <w:r>
        <w:rPr>
          <w:rFonts w:ascii="Calibri" w:hAnsi="Calibri" w:cs="Arial"/>
        </w:rPr>
        <w:t>Einleitung</w:t>
      </w:r>
      <w:r>
        <w:rPr>
          <w:rFonts w:ascii="Calibri" w:hAnsi="Calibri" w:cs="Arial"/>
        </w:rPr>
        <w:tab/>
      </w:r>
    </w:p>
    <w:p w:rsidR="007A1EF5" w:rsidRDefault="007A1EF5" w:rsidP="00FF7A34">
      <w:pPr>
        <w:spacing w:line="360" w:lineRule="auto"/>
        <w:outlineLvl w:val="0"/>
        <w:rPr>
          <w:rFonts w:ascii="Calibri" w:hAnsi="Calibri" w:cs="Arial"/>
        </w:rPr>
      </w:pPr>
      <w:r>
        <w:rPr>
          <w:rFonts w:ascii="Calibri" w:hAnsi="Calibri" w:cs="Arial"/>
        </w:rPr>
        <w:br/>
        <w:t xml:space="preserve">II. Methodik des Sozialberichts </w:t>
      </w:r>
      <w:r>
        <w:rPr>
          <w:rFonts w:ascii="Calibri" w:hAnsi="Calibri" w:cs="Arial"/>
        </w:rPr>
        <w:br/>
      </w:r>
    </w:p>
    <w:p w:rsidR="007A1EF5" w:rsidRDefault="007A1EF5">
      <w:pPr>
        <w:spacing w:line="360" w:lineRule="auto"/>
        <w:outlineLvl w:val="0"/>
        <w:rPr>
          <w:rFonts w:ascii="Calibri" w:hAnsi="Calibri" w:cs="Arial"/>
        </w:rPr>
      </w:pPr>
      <w:r>
        <w:rPr>
          <w:rFonts w:ascii="Calibri" w:hAnsi="Calibri" w:cs="Arial"/>
        </w:rPr>
        <w:t>III. Ergebnisse von Sozialmonitoring und Sozialraumanalyse</w:t>
      </w:r>
      <w:r>
        <w:rPr>
          <w:rFonts w:ascii="Calibri" w:hAnsi="Calibri" w:cs="Arial"/>
        </w:rPr>
        <w:br/>
      </w:r>
      <w:r>
        <w:rPr>
          <w:rFonts w:ascii="Calibri" w:hAnsi="Calibri" w:cs="Arial"/>
        </w:rPr>
        <w:br/>
        <w:t>IV. Bericht über den Fachtag vom 12. November 2009</w:t>
      </w:r>
    </w:p>
    <w:p w:rsidR="007A1EF5" w:rsidRDefault="007A1EF5">
      <w:pPr>
        <w:spacing w:line="360" w:lineRule="auto"/>
        <w:outlineLvl w:val="0"/>
        <w:rPr>
          <w:rFonts w:ascii="Calibri" w:hAnsi="Calibri" w:cs="Arial"/>
        </w:rPr>
      </w:pPr>
    </w:p>
    <w:p w:rsidR="007A1EF5" w:rsidRDefault="007A1EF5" w:rsidP="00B55225">
      <w:pPr>
        <w:spacing w:line="360" w:lineRule="auto"/>
        <w:outlineLvl w:val="0"/>
        <w:rPr>
          <w:rFonts w:ascii="Calibri" w:hAnsi="Calibri" w:cs="Arial"/>
        </w:rPr>
      </w:pPr>
      <w:r>
        <w:rPr>
          <w:rFonts w:ascii="Calibri" w:hAnsi="Calibri" w:cs="Arial"/>
        </w:rPr>
        <w:t>Anhang: Quellenverzeichnis und Literaturempfehlungen</w:t>
      </w:r>
    </w:p>
    <w:p w:rsidR="007A1EF5" w:rsidRDefault="007A1EF5" w:rsidP="00B55225">
      <w:pPr>
        <w:spacing w:line="360" w:lineRule="auto"/>
        <w:outlineLvl w:val="0"/>
        <w:rPr>
          <w:rFonts w:ascii="Calibri" w:hAnsi="Calibri" w:cs="Arial"/>
        </w:rPr>
      </w:pPr>
      <w:r>
        <w:rPr>
          <w:rFonts w:ascii="Calibri" w:hAnsi="Calibri" w:cs="Arial"/>
        </w:rPr>
        <w:t>Anlage: Zusammenstellung der Ergebnisse der Workshops am Fachtag</w:t>
      </w:r>
    </w:p>
    <w:p w:rsidR="007A1EF5" w:rsidRDefault="007A1EF5">
      <w:pPr>
        <w:spacing w:line="360" w:lineRule="auto"/>
        <w:outlineLvl w:val="0"/>
        <w:rPr>
          <w:rFonts w:ascii="Calibri" w:hAnsi="Calibri" w:cs="Arial"/>
          <w:sz w:val="28"/>
          <w:szCs w:val="28"/>
        </w:rPr>
      </w:pPr>
      <w:r>
        <w:rPr>
          <w:rFonts w:ascii="Calibri" w:hAnsi="Calibri" w:cs="Arial"/>
        </w:rPr>
        <w:br w:type="page"/>
      </w:r>
    </w:p>
    <w:p w:rsidR="007A1EF5" w:rsidRDefault="007A1EF5">
      <w:pPr>
        <w:spacing w:line="360" w:lineRule="auto"/>
        <w:outlineLvl w:val="0"/>
        <w:rPr>
          <w:rFonts w:ascii="Calibri" w:hAnsi="Calibri" w:cs="Arial"/>
          <w:b/>
          <w:sz w:val="32"/>
          <w:szCs w:val="32"/>
        </w:rPr>
      </w:pPr>
      <w:r>
        <w:rPr>
          <w:rFonts w:ascii="Calibri" w:hAnsi="Calibri" w:cs="Arial"/>
          <w:b/>
          <w:sz w:val="32"/>
          <w:szCs w:val="32"/>
        </w:rPr>
        <w:t>I. Einleitung</w:t>
      </w:r>
    </w:p>
    <w:p w:rsidR="007A1EF5" w:rsidRDefault="007A1EF5">
      <w:pPr>
        <w:tabs>
          <w:tab w:val="left" w:pos="2250"/>
        </w:tabs>
        <w:spacing w:line="360" w:lineRule="auto"/>
        <w:rPr>
          <w:rFonts w:ascii="Calibri" w:hAnsi="Calibri" w:cs="Arial"/>
        </w:rPr>
      </w:pPr>
    </w:p>
    <w:p w:rsidR="007A1EF5" w:rsidRDefault="007A1EF5">
      <w:pPr>
        <w:spacing w:line="360" w:lineRule="auto"/>
        <w:jc w:val="both"/>
        <w:rPr>
          <w:rFonts w:ascii="Calibri" w:hAnsi="Calibri" w:cs="Arial"/>
        </w:rPr>
      </w:pPr>
      <w:r>
        <w:rPr>
          <w:rFonts w:ascii="Calibri" w:hAnsi="Calibri" w:cs="Arial"/>
        </w:rPr>
        <w:t>Der vorliegende Sozialbericht 2009 steht unter dem Titel „Gerechte Teilhabe in Leverkusen.“ Allen Menschen in Leverkusen faire Chancen zur Verwirklichung ihrer Lebensvorstellungen zu eröffnen und benachteiligte Bevölkerungsgruppen besser gesellschaftlich zu integrieren, ist das gemeinsame Ziel aller sozialpolitischen Anstrengungen.</w:t>
      </w:r>
    </w:p>
    <w:p w:rsidR="007A1EF5" w:rsidRDefault="007A1EF5">
      <w:pPr>
        <w:spacing w:line="360" w:lineRule="auto"/>
        <w:jc w:val="both"/>
        <w:rPr>
          <w:rFonts w:ascii="Calibri" w:hAnsi="Calibri" w:cs="Arial"/>
          <w:b/>
        </w:rPr>
      </w:pPr>
      <w:r>
        <w:rPr>
          <w:rFonts w:ascii="Calibri" w:hAnsi="Calibri" w:cs="Arial"/>
        </w:rPr>
        <w:br/>
      </w:r>
      <w:r>
        <w:rPr>
          <w:rFonts w:ascii="Calibri" w:hAnsi="Calibri" w:cs="Arial"/>
          <w:b/>
        </w:rPr>
        <w:t>I.1.  Ausgrenzung vermeiden: Das zentrale Ziel kommunaler Sozialpolitik</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 xml:space="preserve">Mit dem Sozialbericht 2009 wird für in Leverkusen erstmalig eine kontinuierliche Sozialberichterstattung eingeleitet, die kommunalpolitische Entscheidungsträgerinnen und Entscheidungsträger darin unterstützt, Rahmenbedingungen und Folgen ihrer Beschlüsse und Maßnahmen besser abzuschätzen. Künftig sollen die Lebensverhältnisse der Menschen in Leverkusen im Wege der Sozialberichterstattung fortlaufend erfasst und beschrieben werden. Dies dient einer besseren Erfüllung der </w:t>
      </w:r>
      <w:bookmarkStart w:id="2" w:name="OLE_LINK1"/>
      <w:bookmarkStart w:id="3" w:name="OLE_LINK2"/>
      <w:r>
        <w:rPr>
          <w:rFonts w:ascii="Calibri" w:hAnsi="Calibri" w:cs="Arial"/>
        </w:rPr>
        <w:t>drei wichtigsten Ziele kommunaler Sozialpolitik: Soziale Stabilität in der Stadt zu bewahren, sozialen Ausgleich herzustellen und negative Folgen der Benachteiligung bestimmter Personengruppen auch für die Gesamtbevölkerung zu verhindern</w:t>
      </w:r>
      <w:bookmarkEnd w:id="2"/>
      <w:bookmarkEnd w:id="3"/>
      <w:r>
        <w:rPr>
          <w:rFonts w:ascii="Calibri" w:hAnsi="Calibri" w:cs="Arial"/>
        </w:rPr>
        <w:t>. Zusammengefasst formuliert: Ausgrenzung zu vermeiden.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Bekämpfung sozialer Ausgrenzung (Exklusion) ist die zentrale Kategorie moderner Sozialpolitik. Die Inklusion aller Bürgerinnen und Bürger zu fördern, übersetzt man ins Deutsche am Besten damit, angemessene Möglichkeiten sozialer Teilhabe zu schaffen. Gerechte Teilhabe lässt sich an den Handlungsspielräumen des/der Einzelnen messen. Ist es möglich, die individuell gewünschte und gesellschaftlich übliche Lebensweise auf eine angemessen Weise zu verwirklichen? Gefährdet ist die Teilhabe in diesem Sinne bereits dann, wenn sich die Anforderungen an die eigene Lebensweise und die tatsächlichen Möglichkeiten zu ihrer Verwirklichung auseinander entwickeln. Wer dauerhaft oder sogar biographisch unumkehrbar von gesellschaftlich üblichen Teilhabeformen ausgeschlossen ist,  ist sozial ausgegrenzt. Dies durch Prävention zu verhindern oder dort, wo Prävention nicht mehr greifen kann, durch aktivierende Sozialpolitik zu überwinden, das ist die sich im Konkreten immer wieder neu stellende Aufgabe der Sozialpolitik.</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b/>
        </w:rPr>
      </w:pPr>
      <w:r>
        <w:rPr>
          <w:rFonts w:ascii="Calibri" w:hAnsi="Calibri" w:cs="Arial"/>
          <w:b/>
        </w:rPr>
        <w:t>I.2. Veränderte Rahmenbedingungen seit dem Sozialbericht 2002</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Seit dem Sozialbericht 2002/2003 haben sich die Rahmenbedingungen, in denen sich die Leverkusener Sozialpolitik bewegt, stark verändert. Die Vielzahl der grundsätzlichen Veränderungen kann an dieser Stelle nicht ausführlich erläutert werden. Aber schon eine kursorische Betrachtung zeigt, wie tief greifend die Veränderungen waren:</w:t>
      </w:r>
    </w:p>
    <w:p w:rsidR="007A1EF5" w:rsidRDefault="007A1EF5">
      <w:pPr>
        <w:spacing w:line="360" w:lineRule="auto"/>
        <w:jc w:val="both"/>
        <w:rPr>
          <w:rFonts w:ascii="Calibri" w:hAnsi="Calibri" w:cs="Arial"/>
        </w:rPr>
      </w:pPr>
    </w:p>
    <w:p w:rsidR="007A1EF5" w:rsidRDefault="007A1EF5">
      <w:pPr>
        <w:numPr>
          <w:ilvl w:val="0"/>
          <w:numId w:val="27"/>
          <w:numberingChange w:id="4" w:author="STV-50-VOGT" w:date="2010-03-17T17:16:00Z" w:original="-"/>
        </w:numPr>
        <w:spacing w:line="360" w:lineRule="auto"/>
        <w:jc w:val="both"/>
        <w:rPr>
          <w:rFonts w:ascii="Calibri" w:hAnsi="Calibri" w:cs="Arial"/>
          <w:b/>
        </w:rPr>
      </w:pPr>
      <w:r>
        <w:rPr>
          <w:rFonts w:ascii="Calibri" w:hAnsi="Calibri" w:cs="Arial"/>
          <w:b/>
        </w:rPr>
        <w:t>Kommunale Haushaltskrise</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Die dramatische Finanzkrise der kommunalen Haushalte ist auch an der ehemals finanzstarken Stadt Leverkusen nicht vorbeigegangen. Trotz erheblicher Konsolidierungsbemühungen hat sich aufgrund einer Vielzahl von Faktoren auf der Einnahme und der Ausgabeseite des städtischen Haushalts, die dem Einfluss der Stadt  entzogen sind, eine konsumtive Verschuldung (Kassenkredite) in Höhe von 202</w:t>
      </w:r>
      <w:r>
        <w:rPr>
          <w:rFonts w:ascii="Calibri" w:hAnsi="Calibri" w:cs="Arial"/>
          <w:color w:val="FF0000"/>
        </w:rPr>
        <w:t xml:space="preserve"> </w:t>
      </w:r>
      <w:r w:rsidRPr="0089371A">
        <w:rPr>
          <w:rFonts w:ascii="Calibri" w:hAnsi="Calibri" w:cs="Arial"/>
        </w:rPr>
        <w:t>Mio. €</w:t>
      </w:r>
      <w:r>
        <w:rPr>
          <w:rFonts w:ascii="Calibri" w:hAnsi="Calibri" w:cs="Arial"/>
        </w:rPr>
        <w:t xml:space="preserve"> Stand 17.2.2010 aufgebaut, deren Abbau derzeit nicht realisierbar erscheint. Im Gegenteil ist mit einem weiteren Anstieg der Defizite zu rechnen, spätestens im </w:t>
      </w:r>
      <w:r w:rsidRPr="0089371A">
        <w:rPr>
          <w:rFonts w:ascii="Calibri" w:hAnsi="Calibri" w:cs="Arial"/>
        </w:rPr>
        <w:t>Jahr</w:t>
      </w:r>
      <w:r>
        <w:rPr>
          <w:rFonts w:ascii="Calibri" w:hAnsi="Calibri" w:cs="Arial"/>
          <w:color w:val="FF0000"/>
        </w:rPr>
        <w:t xml:space="preserve"> </w:t>
      </w:r>
      <w:r w:rsidRPr="0089371A">
        <w:rPr>
          <w:rFonts w:ascii="Calibri" w:hAnsi="Calibri" w:cs="Arial"/>
        </w:rPr>
        <w:t>2014.</w:t>
      </w:r>
      <w:r>
        <w:rPr>
          <w:rFonts w:ascii="Calibri" w:hAnsi="Calibri" w:cs="Arial"/>
        </w:rPr>
        <w:t xml:space="preserve"> wird das städtische Eigenkapital verbraucht sein. Folge war und ist auf unabsehbare Zeit der Verbleib der Stadt Leverkusen im Nothaushaltsrecht, das jeder neuen freiwilligen Ausgabe entgegensteht und auch im Bereich der Pflichtaufgaben ein enges fiskalisches Korsett bedeutet. Für die Sozialpolitik heisst das, dass der Ruf nach einem erhöhten finanziellen Engagement der Stadt außerhalb ihrer Pflichtaufgaben spätestens an der </w:t>
      </w:r>
    </w:p>
    <w:p w:rsidR="007A1EF5" w:rsidRDefault="007A1EF5">
      <w:pPr>
        <w:spacing w:line="360" w:lineRule="auto"/>
        <w:ind w:left="360"/>
        <w:jc w:val="both"/>
        <w:rPr>
          <w:rFonts w:ascii="Calibri" w:hAnsi="Calibri" w:cs="Arial"/>
        </w:rPr>
      </w:pPr>
      <w:r>
        <w:rPr>
          <w:rFonts w:ascii="Calibri" w:hAnsi="Calibri" w:cs="Arial"/>
        </w:rPr>
        <w:t>Hürde der Kommunalaufsicht scheitern wird.</w:t>
      </w:r>
    </w:p>
    <w:p w:rsidR="007A1EF5" w:rsidRDefault="007A1EF5">
      <w:pPr>
        <w:spacing w:line="360" w:lineRule="auto"/>
        <w:ind w:left="360"/>
        <w:jc w:val="both"/>
        <w:rPr>
          <w:rFonts w:ascii="Calibri" w:hAnsi="Calibri" w:cs="Arial"/>
        </w:rPr>
      </w:pPr>
      <w:r>
        <w:rPr>
          <w:rFonts w:ascii="Calibri" w:hAnsi="Calibri" w:cs="Arial"/>
        </w:rPr>
        <w:br/>
        <w:t>Vor diesem Hintergrund ist Sozialberichterstattung auch aus fiskalischen Gründen sinnvoll. Zum einen, um den Einsatz der verbliebenen Mittel möglichst  wirksam zu gestalten, zum anderen aber auch, um die notwendigen Grundlagendaten zur Akquise von Fördermitteln von EU, Bund und Land zu erhalten.  Der Zugang zu Fördermitteln wird seit einigen Jahren eng an das Vorliegen einer belastbaren Sozialberichterstattung geknüpft. Wer eine solche nicht vorweisen kann, wird zukünftig nur noch sehr eingeschränkt – wenn überhaupt - EU-, Bundes- oder Landesmittel für Sozialprojekte erhalten.</w:t>
      </w:r>
    </w:p>
    <w:p w:rsidR="007A1EF5" w:rsidRDefault="007A1EF5">
      <w:pPr>
        <w:spacing w:line="360" w:lineRule="auto"/>
        <w:ind w:left="360"/>
        <w:jc w:val="both"/>
        <w:rPr>
          <w:rFonts w:ascii="Calibri" w:hAnsi="Calibri" w:cs="Arial"/>
        </w:rPr>
      </w:pPr>
    </w:p>
    <w:p w:rsidR="007A1EF5" w:rsidRDefault="007A1EF5">
      <w:pPr>
        <w:numPr>
          <w:ilvl w:val="0"/>
          <w:numId w:val="27"/>
          <w:numberingChange w:id="5" w:author="STV-50-VOGT" w:date="2010-03-17T17:16:00Z" w:original="-"/>
        </w:numPr>
        <w:spacing w:line="360" w:lineRule="auto"/>
        <w:jc w:val="both"/>
        <w:rPr>
          <w:rFonts w:ascii="Calibri" w:hAnsi="Calibri" w:cs="Arial"/>
          <w:b/>
        </w:rPr>
      </w:pPr>
      <w:r>
        <w:rPr>
          <w:rFonts w:ascii="Calibri" w:hAnsi="Calibri" w:cs="Arial"/>
          <w:b/>
        </w:rPr>
        <w:t>Demografischer Wandel</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 xml:space="preserve">Was lange Zeit nur ein Thema für Experten war, hat sich mittlerweile zu einem weiteren zentralen Thema der sozialpolitischen Diskussion entwickelt: Die Frage nach den Konsequenzen der unumkehrbaren Veränderung der Alterstruktur der Gesellschaft. Während heute noch so viele Menschen wie noch nie vorher im erwerbsfähigen Alter sind (insb. die „baby-boomer“ der 60-iger Jahre), wird sich dies in den kommenden 20 Jahren grundlegend verändern. Das bedeutet zum einen, dass es kein Problem der heutigen älteren Generation ist, sondern im Wesentlichen eines der zukünftigen Seniorinnen und Senioren. Und es bedeutet zum anderen, dass wir heute die Antworten für die Fragen von morgen formulieren müssen. </w:t>
      </w:r>
    </w:p>
    <w:p w:rsidR="007A1EF5" w:rsidRDefault="007A1EF5">
      <w:pPr>
        <w:spacing w:line="360" w:lineRule="auto"/>
        <w:ind w:left="360"/>
        <w:jc w:val="both"/>
        <w:rPr>
          <w:rFonts w:ascii="Calibri" w:hAnsi="Calibri" w:cs="Arial"/>
        </w:rPr>
      </w:pPr>
    </w:p>
    <w:p w:rsidR="007A1EF5" w:rsidRDefault="007A1EF5">
      <w:pPr>
        <w:numPr>
          <w:ilvl w:val="0"/>
          <w:numId w:val="27"/>
          <w:numberingChange w:id="6" w:author="STV-50-VOGT" w:date="2010-03-17T17:16:00Z" w:original="-"/>
        </w:numPr>
        <w:spacing w:line="360" w:lineRule="auto"/>
        <w:jc w:val="both"/>
        <w:rPr>
          <w:rFonts w:ascii="Calibri" w:hAnsi="Calibri" w:cs="Arial"/>
          <w:b/>
        </w:rPr>
      </w:pPr>
      <w:r>
        <w:rPr>
          <w:rFonts w:ascii="Calibri" w:hAnsi="Calibri" w:cs="Arial"/>
          <w:b/>
        </w:rPr>
        <w:t>Integration</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 xml:space="preserve">War es Jahrzehnte lang hoch umstritten, ob die Bundesrepublik ein Einwanderungsland ist, so kann diese Frage heute unstreitig bejaht werden. Integrationspolitik ist auf Bundes- und Landesebene ein zentrales Themengebiet geworden. </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 xml:space="preserve">Bewähren muss sich Integrationspolitik aber vor Ort in den Kommunen. Der Rat der Stadt Leverkusen hat deshalb mit breiter Mehrheit im Sommer 2008 ein umfangreiches Integrationskonzept beschlossen. Die Umsetzung dieses Konzeptes ist eine wichtige Aufgabe aller gesellschaftlichen Kräfte. </w:t>
      </w:r>
    </w:p>
    <w:p w:rsidR="007A1EF5" w:rsidRDefault="007A1EF5">
      <w:pPr>
        <w:spacing w:line="360" w:lineRule="auto"/>
        <w:jc w:val="both"/>
        <w:rPr>
          <w:rFonts w:ascii="Calibri" w:hAnsi="Calibri" w:cs="Arial"/>
        </w:rPr>
      </w:pPr>
    </w:p>
    <w:p w:rsidR="007A1EF5" w:rsidRDefault="007A1EF5">
      <w:pPr>
        <w:numPr>
          <w:ilvl w:val="0"/>
          <w:numId w:val="27"/>
          <w:numberingChange w:id="7" w:author="STV-50-VOGT" w:date="2010-03-17T17:16:00Z" w:original="-"/>
        </w:numPr>
        <w:spacing w:line="360" w:lineRule="auto"/>
        <w:jc w:val="both"/>
        <w:rPr>
          <w:rFonts w:ascii="Calibri" w:hAnsi="Calibri" w:cs="Arial"/>
          <w:b/>
        </w:rPr>
      </w:pPr>
      <w:r>
        <w:rPr>
          <w:rFonts w:ascii="Calibri" w:hAnsi="Calibri" w:cs="Arial"/>
          <w:b/>
        </w:rPr>
        <w:t>Familie als Querschnittsthema</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Auch die Familienpolitk hat einen erheblichen Bedeutungszuwachs erfahren. Themen wie die bessere Vereinbarkeit von Familie und Beruf, die U3-Betreuung und die Einführung von Ganztagesunterricht an allen Schulformen sind nicht nur intensiv diskutiert worden, sondern sind in milliardenschwere Programme eingeflossen. Die Kommunen sind zu Recht mit den Finanzstrukturen an vielen Punkten nicht einverstanden. Das ändert aber nichts an der gesellschaftspolitischen Richtigkeit dieser Entwicklung.</w:t>
      </w:r>
    </w:p>
    <w:p w:rsidR="007A1EF5" w:rsidRDefault="007A1EF5">
      <w:pPr>
        <w:spacing w:line="360" w:lineRule="auto"/>
        <w:ind w:left="360"/>
        <w:jc w:val="both"/>
        <w:rPr>
          <w:rFonts w:ascii="Calibri" w:hAnsi="Calibri" w:cs="Arial"/>
        </w:rPr>
      </w:pPr>
    </w:p>
    <w:p w:rsidR="007A1EF5" w:rsidRDefault="007A1EF5">
      <w:pPr>
        <w:numPr>
          <w:ilvl w:val="0"/>
          <w:numId w:val="27"/>
          <w:numberingChange w:id="8" w:author="STV-50-VOGT" w:date="2010-03-17T17:16:00Z" w:original="-"/>
        </w:numPr>
        <w:spacing w:line="360" w:lineRule="auto"/>
        <w:jc w:val="both"/>
        <w:rPr>
          <w:rFonts w:ascii="Calibri" w:hAnsi="Calibri" w:cs="Arial"/>
          <w:b/>
        </w:rPr>
      </w:pPr>
      <w:r>
        <w:rPr>
          <w:rFonts w:ascii="Calibri" w:hAnsi="Calibri" w:cs="Arial"/>
          <w:b/>
        </w:rPr>
        <w:t>Arbeitsmarktreformen</w:t>
      </w:r>
    </w:p>
    <w:p w:rsidR="007A1EF5" w:rsidRDefault="007A1EF5">
      <w:pPr>
        <w:spacing w:line="360" w:lineRule="auto"/>
        <w:ind w:left="360"/>
        <w:jc w:val="both"/>
        <w:rPr>
          <w:rFonts w:ascii="Calibri" w:hAnsi="Calibri" w:cs="Arial"/>
          <w:b/>
        </w:rPr>
      </w:pPr>
    </w:p>
    <w:p w:rsidR="007A1EF5" w:rsidRDefault="007A1EF5">
      <w:pPr>
        <w:spacing w:line="360" w:lineRule="auto"/>
        <w:ind w:left="360"/>
        <w:jc w:val="both"/>
        <w:rPr>
          <w:rFonts w:ascii="Calibri" w:hAnsi="Calibri" w:cs="Arial"/>
        </w:rPr>
      </w:pPr>
      <w:r>
        <w:rPr>
          <w:rFonts w:ascii="Calibri" w:hAnsi="Calibri" w:cs="Arial"/>
        </w:rPr>
        <w:t xml:space="preserve"> Der Sozialbericht 2002 war noch in der alten „Sozialhilfewelt“ entstanden. Mit den Arbeitsmarktreformen 2004, insbesondere mit der Einführung der Grundsicherung für Arbeitssuchende (SGB II, „Hartz IV“) ging eine der wichtigsten Aufgaben der früheren Sozialämter auf die neue Struktur der ARGEN nach § 44b SGB II bzw. die bundesweit 69 Optionskommunen über. Wenngleich die Zusammenführung von Sozialhilfe und Arbeitslosenhilfe unbezweifelbar ein richtiger Schritt war, so sind zum Jahresbeginn 2010 existentielle Strukturfragen ungelöst. Sollte es noch einer gesetzlichen Lösung im Sinne der Kommunen und der Langzeitarbeitslosen kommen, so wird sich die Stadt Leverkusen um die Zulassung als Optionskommune bemühen.</w:t>
      </w: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r>
        <w:rPr>
          <w:rFonts w:ascii="Calibri" w:hAnsi="Calibri" w:cs="Arial"/>
        </w:rPr>
        <w:t>Ob und in welcher Dimension die noch lange nicht überwundenen Finanz- und Wirtschaftskrise zu einer weiteren Verschärfung der Arbeitsmarktsituation führen wird, bleibt abzuwarten. Die Prognose kann – wenn überhaupt – nur verhalten optimistisch sein.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ind w:left="360"/>
        <w:jc w:val="both"/>
        <w:rPr>
          <w:rFonts w:ascii="Calibri" w:hAnsi="Calibri" w:cs="Arial"/>
        </w:rPr>
      </w:pPr>
    </w:p>
    <w:p w:rsidR="007A1EF5" w:rsidRDefault="007A1EF5">
      <w:pPr>
        <w:spacing w:line="360" w:lineRule="auto"/>
        <w:ind w:left="360"/>
        <w:jc w:val="both"/>
        <w:rPr>
          <w:rFonts w:ascii="Calibri" w:hAnsi="Calibri" w:cs="Arial"/>
        </w:rPr>
      </w:pPr>
    </w:p>
    <w:p w:rsidR="007A1EF5" w:rsidRDefault="007A1EF5">
      <w:pPr>
        <w:spacing w:line="360" w:lineRule="auto"/>
        <w:jc w:val="both"/>
        <w:rPr>
          <w:rFonts w:ascii="Calibri" w:hAnsi="Calibri" w:cs="Arial"/>
          <w:b/>
          <w:sz w:val="32"/>
          <w:szCs w:val="32"/>
        </w:rPr>
      </w:pPr>
      <w:r>
        <w:br w:type="page"/>
      </w:r>
      <w:r>
        <w:rPr>
          <w:rFonts w:ascii="Calibri" w:hAnsi="Calibri" w:cs="Arial"/>
          <w:b/>
          <w:sz w:val="32"/>
          <w:szCs w:val="32"/>
        </w:rPr>
        <w:t>II. Methodik des Sozialberichts</w:t>
      </w:r>
    </w:p>
    <w:p w:rsidR="007A1EF5" w:rsidRDefault="007A1EF5">
      <w:pPr>
        <w:spacing w:line="360" w:lineRule="auto"/>
        <w:rPr>
          <w:rFonts w:ascii="Calibri" w:hAnsi="Calibri" w:cs="Arial"/>
          <w:sz w:val="28"/>
          <w:szCs w:val="28"/>
        </w:rPr>
      </w:pPr>
    </w:p>
    <w:p w:rsidR="007A1EF5" w:rsidRDefault="007A1EF5">
      <w:pPr>
        <w:spacing w:line="360" w:lineRule="auto"/>
        <w:rPr>
          <w:rFonts w:ascii="Calibri" w:hAnsi="Calibri" w:cs="Arial"/>
        </w:rPr>
      </w:pPr>
      <w:r>
        <w:rPr>
          <w:rFonts w:ascii="Calibri" w:hAnsi="Calibri" w:cs="Arial"/>
        </w:rPr>
        <w:t>Der vorliegende Sozialbericht ist gekennzeichnet durch eine Kombination von Sozialmonitoring und Sozialraumanalyse unter Beachtung der für eine belastbare Darstellung notwendigen Berichtsstandards</w:t>
      </w:r>
    </w:p>
    <w:p w:rsidR="007A1EF5" w:rsidRDefault="007A1EF5">
      <w:pPr>
        <w:spacing w:line="360" w:lineRule="auto"/>
        <w:rPr>
          <w:rFonts w:ascii="Calibri" w:hAnsi="Calibri" w:cs="Arial"/>
          <w:sz w:val="28"/>
          <w:szCs w:val="28"/>
        </w:rPr>
      </w:pPr>
    </w:p>
    <w:p w:rsidR="007A1EF5" w:rsidRPr="00FF09C0" w:rsidRDefault="007A1EF5">
      <w:pPr>
        <w:spacing w:line="360" w:lineRule="auto"/>
        <w:rPr>
          <w:rFonts w:ascii="Calibri" w:hAnsi="Calibri" w:cs="Arial"/>
          <w:b/>
        </w:rPr>
      </w:pPr>
      <w:r w:rsidRPr="00FF09C0">
        <w:rPr>
          <w:rFonts w:ascii="Calibri" w:hAnsi="Calibri" w:cs="Arial"/>
          <w:b/>
        </w:rPr>
        <w:t>II.1</w:t>
      </w:r>
      <w:r>
        <w:rPr>
          <w:rFonts w:ascii="Calibri" w:hAnsi="Calibri" w:cs="Arial"/>
          <w:b/>
        </w:rPr>
        <w:t>.</w:t>
      </w:r>
      <w:r w:rsidRPr="00FF09C0">
        <w:rPr>
          <w:rFonts w:ascii="Calibri" w:hAnsi="Calibri" w:cs="Arial"/>
          <w:b/>
        </w:rPr>
        <w:t xml:space="preserve"> Sozialmonitoring</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Lebenssituationen und soziale Entwicklungen lassen sich immer nur in Ausschnitten erfassen und betrachten. Die gesamte Lebenswirklichkeit kann niemals vollständig und aus allen möglichen Perspektiven wiedergegeben werden. Die Betrachtung in Ausschnitten erfolgt im vorliegenden Sozialbericht erstmals im Wege eines so genannten Sozialmonitorings. Sozialmonitoring bedeutet regelmäßig und kontinuierlich die allgemeine soziale Lebenssituation der Bevölkerung zu erfassen, und zwar mithilfe einer begrenzten Anzahl von Indikatoren. Indikatoren sind Messgrößen, mit denen sich bestimmte Sachverhalte vereinfacht erklären lassen. Durch die Ermittlung des durchschnittlichen Einkommens in Euro von Erwerbstätigen in der Stadt Leverkusen lässt sich etwa feststellen, wie stark dieses Durchschnittseinkommen gegenüber anderen Städten abweicht.</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Folgende sieben kommunale  Handlungsfelder wurden ausgewählt:</w:t>
      </w:r>
    </w:p>
    <w:p w:rsidR="007A1EF5" w:rsidRDefault="007A1EF5">
      <w:pPr>
        <w:spacing w:line="360" w:lineRule="auto"/>
        <w:jc w:val="both"/>
        <w:rPr>
          <w:rFonts w:ascii="Calibri" w:hAnsi="Calibri" w:cs="Arial"/>
        </w:rPr>
      </w:pPr>
    </w:p>
    <w:p w:rsidR="007A1EF5" w:rsidRDefault="007A1EF5">
      <w:pPr>
        <w:numPr>
          <w:ilvl w:val="0"/>
          <w:numId w:val="29"/>
          <w:numberingChange w:id="9" w:author="STV-50-VOGT" w:date="2010-03-17T17:16:00Z" w:original=""/>
        </w:numPr>
        <w:spacing w:line="360" w:lineRule="auto"/>
        <w:jc w:val="both"/>
        <w:rPr>
          <w:rFonts w:ascii="Calibri" w:hAnsi="Calibri" w:cs="Arial"/>
        </w:rPr>
      </w:pPr>
      <w:r>
        <w:rPr>
          <w:rFonts w:ascii="Calibri" w:hAnsi="Calibri" w:cs="Arial"/>
        </w:rPr>
        <w:t>Einkommen und Einkommensersatzleistungen</w:t>
      </w:r>
    </w:p>
    <w:p w:rsidR="007A1EF5" w:rsidRDefault="007A1EF5">
      <w:pPr>
        <w:numPr>
          <w:ilvl w:val="0"/>
          <w:numId w:val="29"/>
          <w:numberingChange w:id="10" w:author="STV-50-VOGT" w:date="2010-03-17T17:16:00Z" w:original=""/>
        </w:numPr>
        <w:spacing w:line="360" w:lineRule="auto"/>
        <w:jc w:val="both"/>
        <w:rPr>
          <w:rFonts w:ascii="Calibri" w:hAnsi="Calibri" w:cs="Arial"/>
        </w:rPr>
      </w:pPr>
      <w:r>
        <w:rPr>
          <w:rFonts w:ascii="Calibri" w:hAnsi="Calibri" w:cs="Arial"/>
        </w:rPr>
        <w:t>Arbeit und Wirtschaft</w:t>
      </w:r>
    </w:p>
    <w:p w:rsidR="007A1EF5" w:rsidRDefault="007A1EF5">
      <w:pPr>
        <w:numPr>
          <w:ilvl w:val="0"/>
          <w:numId w:val="29"/>
          <w:numberingChange w:id="11" w:author="STV-50-VOGT" w:date="2010-03-17T17:16:00Z" w:original=""/>
        </w:numPr>
        <w:spacing w:line="360" w:lineRule="auto"/>
        <w:jc w:val="both"/>
        <w:rPr>
          <w:rFonts w:ascii="Calibri" w:hAnsi="Calibri" w:cs="Arial"/>
        </w:rPr>
      </w:pPr>
      <w:r>
        <w:rPr>
          <w:rFonts w:ascii="Calibri" w:hAnsi="Calibri" w:cs="Arial"/>
        </w:rPr>
        <w:t>Wohnen und Lebensqualität</w:t>
      </w:r>
    </w:p>
    <w:p w:rsidR="007A1EF5" w:rsidRDefault="007A1EF5">
      <w:pPr>
        <w:numPr>
          <w:ilvl w:val="0"/>
          <w:numId w:val="29"/>
          <w:numberingChange w:id="12" w:author="STV-50-VOGT" w:date="2010-03-17T17:16:00Z" w:original=""/>
        </w:numPr>
        <w:spacing w:line="360" w:lineRule="auto"/>
        <w:jc w:val="both"/>
        <w:rPr>
          <w:rFonts w:ascii="Calibri" w:hAnsi="Calibri" w:cs="Arial"/>
        </w:rPr>
      </w:pPr>
      <w:r>
        <w:rPr>
          <w:rFonts w:ascii="Calibri" w:hAnsi="Calibri" w:cs="Arial"/>
        </w:rPr>
        <w:t>Bildung und Förderung</w:t>
      </w:r>
    </w:p>
    <w:p w:rsidR="007A1EF5" w:rsidRDefault="007A1EF5">
      <w:pPr>
        <w:numPr>
          <w:ilvl w:val="0"/>
          <w:numId w:val="29"/>
          <w:numberingChange w:id="13" w:author="STV-50-VOGT" w:date="2010-03-17T17:16:00Z" w:original=""/>
        </w:numPr>
        <w:spacing w:line="360" w:lineRule="auto"/>
        <w:jc w:val="both"/>
        <w:rPr>
          <w:rFonts w:ascii="Calibri" w:hAnsi="Calibri" w:cs="Arial"/>
        </w:rPr>
      </w:pPr>
      <w:r>
        <w:rPr>
          <w:rFonts w:ascii="Calibri" w:hAnsi="Calibri" w:cs="Arial"/>
        </w:rPr>
        <w:t>Gesundheit und Pflege</w:t>
      </w:r>
    </w:p>
    <w:p w:rsidR="007A1EF5" w:rsidRDefault="007A1EF5">
      <w:pPr>
        <w:numPr>
          <w:ilvl w:val="0"/>
          <w:numId w:val="29"/>
          <w:numberingChange w:id="14" w:author="STV-50-VOGT" w:date="2010-03-17T17:16:00Z" w:original=""/>
        </w:numPr>
        <w:spacing w:line="360" w:lineRule="auto"/>
        <w:jc w:val="both"/>
        <w:rPr>
          <w:rFonts w:ascii="Calibri" w:hAnsi="Calibri" w:cs="Arial"/>
        </w:rPr>
      </w:pPr>
      <w:r>
        <w:rPr>
          <w:rFonts w:ascii="Calibri" w:hAnsi="Calibri" w:cs="Arial"/>
        </w:rPr>
        <w:t>Politische Beteiligung</w:t>
      </w:r>
    </w:p>
    <w:p w:rsidR="007A1EF5" w:rsidRDefault="007A1EF5">
      <w:pPr>
        <w:numPr>
          <w:ilvl w:val="0"/>
          <w:numId w:val="29"/>
          <w:numberingChange w:id="15" w:author="STV-50-VOGT" w:date="2010-03-17T17:16:00Z" w:original=""/>
        </w:numPr>
        <w:spacing w:line="360" w:lineRule="auto"/>
        <w:jc w:val="both"/>
        <w:rPr>
          <w:rFonts w:ascii="Calibri" w:hAnsi="Calibri" w:cs="Arial"/>
        </w:rPr>
      </w:pPr>
      <w:r>
        <w:rPr>
          <w:rFonts w:ascii="Calibri" w:hAnsi="Calibri" w:cs="Arial"/>
        </w:rPr>
        <w:t>Öffentliche Sicherheit</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Einführung eines Sozialmonitoring für die Stadt Leverkusen gibt so etwas wie einen roten Faden für die Leverkusener Sozialberichterstattung vor. Indem Daten erhoben, bereitgestellt und bewertet werden, lässt sich die Transparenz über soziale Zustände und Entwicklungsprozesse erhöhen. Grundlage der Einteilung des Leverkusener Sozialmonitorings in sieben Handlungsfelder ist der Bericht „Sozialmonitoring“ der Kommunalen Gemeinschaftsstelle für Verwaltungsmanagement (KGSt). Die Stadt Leverkusen hat in den Jahren 2008 und 2009 im Innovationszirkel mitgearbeitet, in dessen Rahmen das Monitoring entstanden ist. Alle Handlungsfelder weisen einen Bezug zur Bevölkerungsstruktur auf. Daher werden bestimmte Basisangaben über die Gesamtbevölkerung der Stadt Leverkusen benötigt. Eine methodische Einschränkung ist insoweit vorzunehmen, als dass nicht alle vorgestellten Indikatoren auf den gleichen Zeitpunkt Bezug nehmen. Bei der Weiterentwicklung des Sozialmonitorings ist darauf zu achten, dass soweit wie möglich, die ausgewählten Informationen künftig im so genannten Längsschnitt, also kontinuierlich mit der zeitlichen Entwicklung, erhoben werden.</w:t>
      </w:r>
    </w:p>
    <w:p w:rsidR="007A1EF5" w:rsidRDefault="007A1EF5">
      <w:pPr>
        <w:spacing w:line="360" w:lineRule="auto"/>
        <w:jc w:val="both"/>
        <w:rPr>
          <w:rFonts w:ascii="Calibri" w:hAnsi="Calibri" w:cs="Arial"/>
          <w:b/>
        </w:rPr>
      </w:pPr>
    </w:p>
    <w:p w:rsidR="007A1EF5" w:rsidRPr="00FF09C0" w:rsidRDefault="007A1EF5">
      <w:pPr>
        <w:spacing w:line="360" w:lineRule="auto"/>
        <w:jc w:val="both"/>
        <w:rPr>
          <w:rFonts w:ascii="Calibri" w:hAnsi="Calibri" w:cs="Arial"/>
          <w:b/>
        </w:rPr>
      </w:pPr>
      <w:r w:rsidRPr="00FF09C0">
        <w:rPr>
          <w:rFonts w:ascii="Calibri" w:hAnsi="Calibri" w:cs="Arial"/>
          <w:b/>
        </w:rPr>
        <w:t>II.2. Sozialraumanalyse</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Sozialwissenschaftler sind sich darin einig, dass die soziale Spaltung in Städten immer mehr zu einer räumlichen Sortierung führt, in der sich soziale, ethnische und demografische Entwicklungen überlagern. Wissenschaftlich hat sich zur Beschreibung dieses Phänomens der Begriff der „sozialen Segregation“ herausgebildet. Die räumliche Konzentration von sozialer Benachteiligung hat zur Folge, dass nachbarschaftliche Verbundenheit in der Bevölkerung und lokale Identifikation mit dem Wohngebiet nur sehr unzureichend entwickelt werden können und abweichende Lebensmuster zum Vorbild werden, die sogenannte negative Verstärkungseffekte für die heutige und die nachfolgende Generation hervorrufen (vgl. Strohmeier 2006). Es besteht zumindest die Gefahr, dass der Wohnort auf diese Weise zu einer Quelle von Benachteiligung und Ungleichheit wird (vgl. Häußermann 2004). Man spricht in diesem Zusammenhang von der „Reproduktion von Benachteiligung und Armut“.</w:t>
      </w:r>
    </w:p>
    <w:p w:rsidR="007A1EF5" w:rsidRDefault="007A1EF5">
      <w:pPr>
        <w:spacing w:line="360" w:lineRule="auto"/>
        <w:jc w:val="both"/>
        <w:rPr>
          <w:rFonts w:ascii="Calibri" w:hAnsi="Calibri" w:cs="Arial"/>
        </w:rPr>
      </w:pPr>
    </w:p>
    <w:p w:rsidR="007A1EF5" w:rsidRDefault="007A1EF5">
      <w:pPr>
        <w:pStyle w:val="ListParagraph"/>
        <w:spacing w:line="360" w:lineRule="auto"/>
        <w:ind w:left="0"/>
        <w:jc w:val="both"/>
        <w:rPr>
          <w:rFonts w:ascii="Calibri" w:hAnsi="Calibri" w:cs="Arial"/>
        </w:rPr>
      </w:pPr>
      <w:r>
        <w:rPr>
          <w:rFonts w:ascii="Calibri" w:hAnsi="Calibri" w:cs="Arial"/>
        </w:rPr>
        <w:t xml:space="preserve">Mit dem eingangs beschriebenen Ziel, eine gerechte Teilhabe zu fördern, schaut die Sozialberichterstattung besonders auf negative </w:t>
      </w:r>
      <w:r>
        <w:rPr>
          <w:rFonts w:ascii="Calibri" w:hAnsi="Calibri"/>
        </w:rPr>
        <w:t xml:space="preserve">Auffälligkeiten, also in die strukturell eher benachteiligten Stadtteile. Dies soll dazu dienen, eine weitere Verschärfung von Problemlagen zu verhindern bzw. deren Entstehung zu verhindern. Die Untersuchung von einzelnen Stadtgebieten erfolgte in erster Linie anhand der folgenden Kriterien: Hohe Arbeitslosigkeit, niedriges Durchschnittseinkommen, überdurchschnittlich viele Zuwanderer, überdurchschnittlich viele junge Menschen. Vorhandene Problemlagen werden unter verschiedenen Gesichtspunkten beschrieben. Strategisch geht es darum, Verbesserungsmöglichkeiten aufzuzeigen, beispielsweise die Wohnqualität gezielt zu erhöhen, den Zugang benachteiligter Personengruppen zu guter Bildung weiter zu fördern, die Gesundheitsprävention in öffentlichen Einrichtungen zu verstärken oder eine politische Beteiligungsbereitschaft durch geeignete Maßnahmen neu zu entwickeln. </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Im Rahmen der Berichterstattung sind nun besonders drei Merkmale von Bedeutung, um Unterschiede im strukturellen Gefüge von Stadtteilen bzw. Wohngebieten zu erfassen: Die demografische, ethnische und sozio-ökonomische Bevölkerungsstruktur. Oder anders gefragt: Leben in einem Stadtteil/in einem Wohngebiet besonders viele alte oder besonders viele junge Menschen? Wie viele der Bewohnerinnen und Bewohner im „Viertel“ verfügen über einen deutschen Pass und wie viele über eine Zuwanderungsgeschichte? Sind im Stadtteil mehr oder weniger Menschen auf sozialstaatliche Leistungen angewiesen als im gesamtstädtischen Durchschnitt, Personen also, die ihren Lebensunterhalt nicht aus eigener Arbeit sicherstellen können und daher soziale Unterstützung benötigen?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Notwendigkeit einer solchen raumbezogenen Betrachtung ergibt sich aus der kommunalen Verantwortung für die Daseinsvorsorge und dem daraus abgeleiteten Interesse an einer frühzeitigen Beobachtung der Lebensbedingungen und Entwicklungschancen und eine Herstellung von ausgeglichenen bzw. gleichwertigen Lebensverhältnissen. Gerade die Auswirkungen von negativen räumlichen Bedingungen auf die Lebenschancen von Kindern lassen sich so noch rechtzeitig abfedern. Somit ist es geboten, die besonderen räumlichen Risiken in Leverkusen zu identifizieren, ohne dabei bestimmte Gruppen oder Stadtgebiete zu stigmatisieren. Gerade die Zusammenhänge und Verstärkungseffekte zwischen bestimmten sozialen Merkmalen sind von Bedeutung, um gezieltere soziale Maßnahmen zu entwickeln und umzusetzen. Damit steht dann wiederum die Analyse der Wirkung der eingeleiteten Maßnahmen in enger Beziehung. Der erzielte Effekt muss beim Einsatz von öffentlichen Mitteln möglichst groß sein. Es ist notwendig zu wissen, welche direkten Zusammenhänge etwa zwischen einem Projekt zur Gesundheitsförderung und der beruflichen Eingliederung von Migrantinnen und Migranten bestehen. Diese differenzierte Betrachtungsweise ist zu ergänzen um Zeitreihenvergleiche. Dadurch lassen sich positive wie negative Entwicklungen rechtzeitig erkennen.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rPr>
      </w:pPr>
      <w:r>
        <w:rPr>
          <w:rFonts w:ascii="Calibri" w:hAnsi="Calibri"/>
        </w:rPr>
        <w:t>Um möglichen falschen Schlussfolgerungen von vornherein zu begegnen, sollen an dieser Stelle noch einige einschränkende Hinweise erfolgen:</w:t>
      </w:r>
    </w:p>
    <w:p w:rsidR="007A1EF5" w:rsidRDefault="007A1EF5">
      <w:pPr>
        <w:spacing w:line="360" w:lineRule="auto"/>
        <w:jc w:val="both"/>
        <w:rPr>
          <w:rFonts w:ascii="Calibri" w:hAnsi="Calibri"/>
        </w:rPr>
      </w:pPr>
    </w:p>
    <w:p w:rsidR="007A1EF5" w:rsidRDefault="007A1EF5">
      <w:pPr>
        <w:pStyle w:val="ListParagraph"/>
        <w:numPr>
          <w:ilvl w:val="0"/>
          <w:numId w:val="48"/>
          <w:numberingChange w:id="16" w:author="STV-50-VOGT" w:date="2010-03-17T17:16:00Z" w:original="-"/>
        </w:numPr>
        <w:spacing w:line="360" w:lineRule="auto"/>
        <w:jc w:val="both"/>
        <w:rPr>
          <w:rFonts w:ascii="Calibri" w:hAnsi="Calibri" w:cs="Arial"/>
        </w:rPr>
      </w:pPr>
      <w:r>
        <w:rPr>
          <w:rFonts w:ascii="Calibri" w:hAnsi="Calibri"/>
        </w:rPr>
        <w:t>Der Raum ist nur eine von verschiedenen physischen Dimensionen, nach denen soziale Ungleichheit erfasst werden kann. Sie tritt in Lebensräumen besonders sichtbar in Erscheinung, deshalb erlangt die Dimension hohe Bedeutung.</w:t>
      </w:r>
      <w:r>
        <w:rPr>
          <w:rFonts w:ascii="Calibri" w:hAnsi="Calibri"/>
        </w:rPr>
        <w:br/>
      </w:r>
    </w:p>
    <w:p w:rsidR="007A1EF5" w:rsidRDefault="007A1EF5">
      <w:pPr>
        <w:pStyle w:val="ListParagraph"/>
        <w:numPr>
          <w:ilvl w:val="0"/>
          <w:numId w:val="48"/>
          <w:numberingChange w:id="17" w:author="STV-50-VOGT" w:date="2010-03-17T17:16:00Z" w:original="-"/>
        </w:numPr>
        <w:spacing w:line="360" w:lineRule="auto"/>
        <w:jc w:val="both"/>
        <w:rPr>
          <w:rFonts w:ascii="Calibri" w:hAnsi="Calibri" w:cs="Arial"/>
        </w:rPr>
      </w:pPr>
      <w:r>
        <w:rPr>
          <w:rFonts w:ascii="Calibri" w:hAnsi="Calibri" w:cs="Arial"/>
        </w:rPr>
        <w:t>Der Raum ist kein statischer, sondern ein dynamischer Begriff. Raum entsteht durch „Relation“, also durch das Handeln und die Beziehungen von Personen (Lutz 2009, S. 91). Daher legt der Sozialbericht sich auch nicht auf einen bestimmten geographischen Raumbegriff fest, wie Stadtbezirke, Stadtteile, Quartiere usw.</w:t>
      </w:r>
    </w:p>
    <w:p w:rsidR="007A1EF5" w:rsidRDefault="007A1EF5">
      <w:pPr>
        <w:pStyle w:val="ListParagraph"/>
        <w:spacing w:line="360" w:lineRule="auto"/>
        <w:ind w:left="395"/>
        <w:jc w:val="both"/>
        <w:rPr>
          <w:rFonts w:ascii="Calibri" w:hAnsi="Calibri" w:cs="Arial"/>
        </w:rPr>
      </w:pPr>
    </w:p>
    <w:p w:rsidR="007A1EF5" w:rsidRDefault="007A1EF5">
      <w:pPr>
        <w:numPr>
          <w:ilvl w:val="0"/>
          <w:numId w:val="48"/>
          <w:numberingChange w:id="18" w:author="STV-50-VOGT" w:date="2010-03-17T17:16:00Z" w:original="-"/>
        </w:numPr>
        <w:spacing w:line="360" w:lineRule="auto"/>
        <w:jc w:val="both"/>
        <w:rPr>
          <w:rFonts w:ascii="Calibri" w:hAnsi="Calibri" w:cs="Arial"/>
        </w:rPr>
      </w:pPr>
      <w:r>
        <w:rPr>
          <w:rFonts w:ascii="Calibri" w:hAnsi="Calibri" w:cs="Arial"/>
        </w:rPr>
        <w:t>Die Untersuchung von Stadtteilen nach bestimmten sozialen Auffälligkeiten nimmt keine Bewertung der Qualität von Stadtteilen insgesamt vor. Die Berichterstattung soll nicht als Stigmatisierung aufgenommen werden. Um die Folgen von sozialer Benachteiligung jedoch im Interesse der Gesamtstadt abzumildern, ist es notwendig, Räume näher zu untersuchen, in denen soziale Benachteiligung besonders stark in Erscheinung tritt. Alles andere würde die Lebensverhältnisse der Menschen bagatellisieren.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Pr="00FF09C0" w:rsidRDefault="007A1EF5">
      <w:pPr>
        <w:spacing w:line="360" w:lineRule="auto"/>
        <w:jc w:val="both"/>
        <w:rPr>
          <w:rFonts w:ascii="Calibri" w:hAnsi="Calibri" w:cs="Arial"/>
          <w:b/>
        </w:rPr>
      </w:pPr>
      <w:r w:rsidRPr="00FF09C0">
        <w:rPr>
          <w:rFonts w:ascii="Calibri" w:hAnsi="Calibri" w:cs="Arial"/>
          <w:b/>
        </w:rPr>
        <w:t>II.3. Berichtstandards</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Eine ernsthafte Sozialberichterstattung muss wissenschaftlichen Anforderungen an die Güte, Gültigkeit und Zuverlässigkeit der hergeleiteten Aussagen genügen. Andernfalls laufen die Annahmen der Berichterstattung ins Leere und produzieren möglicherweise sogar Fehlentscheidungen. Mit diesem Bericht werden deshalb zunächst auch erst grundlegende Schritte in Richtung eines Sozialmonitorings auf Basis von Kennzahlen unternommen. Dieser Bericht entstand in Zusammenarbeit mit der Statistikstelle der Stadt Leverkusen, deren zahlreiche vor allem zur demografischen Struktur verfügbare Auswertungen genutzt und in Bezug auf die besonderen Anforderungen der Sozialberichterstattung hin betrachtet worden sind. Daneben sind als weitere wichtige Quellen Leistungsprozessdaten aus unterschiedlichen EDV-Verfahren, die im Rahmen der Gewährung von sozialen Leistungen erfasst werden sowie statistische Informationen insbesondere der Bundesagentur für Arbeit, des statistischen Landesamts Nordrhein-Westfalen (heute Landesbetrieb Information und Technik) sowie des Landesinstituts für Gesundheit und Arbeit zu nennen. Außerdem greift der Sozialbericht auf vorliegende Berichtssysteme der Fachbereiche zurück, wie etwa den Wohnungsmarktbericht. Informationen aus Fachberichten werden hier im Hinblick auf soziale Fragestellungen zusammengeführt.</w:t>
      </w:r>
    </w:p>
    <w:p w:rsidR="007A1EF5" w:rsidRDefault="007A1EF5">
      <w:pPr>
        <w:spacing w:line="360" w:lineRule="auto"/>
        <w:jc w:val="both"/>
        <w:rPr>
          <w:rFonts w:ascii="Calibri" w:hAnsi="Calibri" w:cs="Arial"/>
        </w:rPr>
      </w:pPr>
      <w:r>
        <w:rPr>
          <w:rFonts w:ascii="Calibri" w:hAnsi="Calibri" w:cs="Arial"/>
        </w:rPr>
        <w:t>„Zahlen“ allein reichen jedoch nicht aus, sondern müssen mit anderen vorliegenden Informationen in den Zusammenhang gebracht werden. In einigen der für das Sozialmonitoring ausgewählten Handlungsfeldern (z.B. Bildung) liegen beispielsweise Daten bislang erst in einem unzureichenden Maße vor. Dies ist auf Ursachen, die außerhalb der statistischen Möglichkeiten einer Stadtverwaltung liegen, zurückzuführen. Einige Informationen werden für Leverkusen in statistisch oder politisch eingeschränkter Weise ausgewertet, so etwa die Daten des Mikrozensus 2005 (Statistisches Bundesamt) oder die Regionalauswertung des „Wegweisers Kommune“ (Bertelsmann-Stiftung). Sofern sie für einzelne Handlungsfelder herangezogen worden sind, weisen sie nur eine nebengeordnete Funktion auf. Die künftige kommunale Berichterstattung wird außerdem die Aufgabe haben, mit Entwicklungen auf übergeordneter Ebene, zum Beispiel mit der Bildungsberichterstattung des Bundes und der Länder, Schritt zu halten und Informationslücken zu schließen. Im Rahmen eines Fachtags mit dem Ministerium für Arbeit, Gesundheit und Soziales des Landes Nordrhein-Westfalen am 11. August 2008 in Leverkusen, an dem 200 Vertreterinnen und Vertreter aus vielen Städten und aus der Sozialwissenschaft teilnahmen, wurden Möglichkeiten diskutiert, auf welche Weise dies gelingen kann. Vor allem aber kommt es auf eine weiterhin partnerschaftliche Zusammenarbeit von Fachbereichen der Stadt Leverkusen an, um die innovative und integrierte Berichterstattung weiterzuentwickeln.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mit dem vorliegenden Bericht eingeführte Sozialberichterstattung für die Stadt Leverkusen beruht auf fünf Leitprinzipien der Analyse:</w:t>
      </w:r>
    </w:p>
    <w:p w:rsidR="007A1EF5" w:rsidRDefault="007A1EF5">
      <w:pPr>
        <w:spacing w:line="360" w:lineRule="auto"/>
        <w:jc w:val="both"/>
        <w:rPr>
          <w:rFonts w:ascii="Calibri" w:hAnsi="Calibri" w:cs="Arial"/>
        </w:rPr>
      </w:pPr>
    </w:p>
    <w:p w:rsidR="007A1EF5" w:rsidRDefault="007A1EF5">
      <w:pPr>
        <w:numPr>
          <w:ilvl w:val="0"/>
          <w:numId w:val="26"/>
          <w:numberingChange w:id="19" w:author="STV-50-VOGT" w:date="2010-03-17T17:16:00Z" w:original=""/>
        </w:numPr>
        <w:spacing w:line="360" w:lineRule="auto"/>
        <w:jc w:val="both"/>
        <w:rPr>
          <w:rFonts w:ascii="Calibri" w:hAnsi="Calibri" w:cs="Arial"/>
        </w:rPr>
      </w:pPr>
      <w:r>
        <w:rPr>
          <w:rFonts w:ascii="Calibri" w:hAnsi="Calibri" w:cs="Arial"/>
          <w:bCs/>
        </w:rPr>
        <w:t>Vielschichtigkeit der untersuchten Handlungsfelder: Durch die Auswahl einer möglichst breiten Anzahl von Handlungsfeldern wird kommunale Wirklichkeit relativ umfassend abgebildet. Die ausgewählten Handlungsfelder schließen einander nicht gegenseitig aus, sondern stellen mehrere Perspektiven für die Zustandsbeschreibung der Bevölkerung dar. Sozial benachteiligte Personen oder Personengruppen weisen eine in mehrfacher Hinsicht eingeschränkte Lebenssituation auf, die ihnen eine eigenständige Lebensbewältigung erschwert. Der prekäre Erwerbsstatus vieler Betroffener hat in aller Regel gesundheitliche Beeinträchtigungen, Defizite in sozialen Beziehungen, in der Wohnungsversorgung, Verschuldung und möglicherweise sogar familiäre Gewalt zur Folge. Daher gilt es im Wege der Sozialberichterstattung soziale Problemlagen in ihrer Vielschichtigkeit sichtbar zu machen. Sie allein auf Geldmangel zu reduzieren, widerspräche der Lebenswirklichkeit. Für künftige Zwecke wäre es wünschenswert, die fachlichen Informationen aus bestimmten Handlungsfeldern (z.B. der Bildung) zu finanzwirtschaftlichen Kennzahlen in Beziehung zu setzen, um damit eine Ausgabensteuerung zu ermöglichen.</w:t>
      </w:r>
    </w:p>
    <w:p w:rsidR="007A1EF5" w:rsidRDefault="007A1EF5">
      <w:pPr>
        <w:spacing w:line="360" w:lineRule="auto"/>
        <w:ind w:left="360"/>
        <w:jc w:val="both"/>
        <w:rPr>
          <w:rFonts w:ascii="Calibri" w:hAnsi="Calibri" w:cs="Arial"/>
        </w:rPr>
      </w:pPr>
    </w:p>
    <w:p w:rsidR="007A1EF5" w:rsidRDefault="007A1EF5">
      <w:pPr>
        <w:numPr>
          <w:ilvl w:val="0"/>
          <w:numId w:val="26"/>
          <w:numberingChange w:id="20" w:author="STV-50-VOGT" w:date="2010-03-17T17:16:00Z" w:original=""/>
        </w:numPr>
        <w:spacing w:line="360" w:lineRule="auto"/>
        <w:jc w:val="both"/>
        <w:rPr>
          <w:rFonts w:ascii="Calibri" w:hAnsi="Calibri" w:cs="Arial"/>
        </w:rPr>
      </w:pPr>
      <w:r>
        <w:rPr>
          <w:rFonts w:ascii="Calibri" w:hAnsi="Calibri" w:cs="Arial"/>
          <w:bCs/>
        </w:rPr>
        <w:t>Kommunaler Handlungs- und Ergebnisbezug der erhobenen Daten: Die Auswahl der Handlungsfelder berücksichtigt nur solche Bereiche, auf die die Stadt Leverkusen wirklich direkt oder indirekt Einfluss nehmen kann. Es wäre vermessen zu behaupten, die Stadt Leverkusen sei imstande, gesamtgesellschaftliche oder sogar globale Problemlagen, wie die beispielsweise die zunehmende Kinderarmut in Industrieländern, zu lösen. Zusammen mit Partnern aus Wirtschaft und Gesellschaft ist sie aber imstande, die negativen Folgen durch die Entwicklung und Umsetzung wirksamer kommunaler Konzepte abzumildern. Hinzu kommt, dass viele Aufgaben der Städte Pflichtaufgaben sind. Hier bestehen daher zum Teil nur eingeschränkte Steuerungsmöglichkeiten. Wirkungs- und Ergebnisorientierung bedeutet, dass aus den Erkenntnissen der Berichterstattung Handlungskonsequenzen abgeleitet und ihr Beitrag zur Problembeseitigung bzw. -abmilderung anschließend gemessen werden kann. Wirkungsorientierung bedeutet aber auch, dass die Sozialberichterstattung perspektivisch auch finanzwirtschaftliche Kennzahlen berücksichtigen muss, wie etwa den Ausgabenanteil für bestimmte Zwecke oder den Zuschussbedarf, der durch die Gewährung von sozialen Leistungen insgesamt hervorgerufen und durch die Bürgerinnen und Bürger der Stadt getragen wird. Dadurch wird erkennbar, dass dieser zum Beispiel im Bereich der Leistungen des Zweiten Buchs Sozialgesetzbuchs („Hartz IV“) zwar tendenziell steigt, aber noch unter dem durch die Gemeindeprüfungsanstalt NRW festgestellten Landesmittelwert liegt. Diese sind nicht allein finanzwirtschaftlichen Berichten vorbehalten.</w:t>
      </w:r>
    </w:p>
    <w:p w:rsidR="007A1EF5" w:rsidRDefault="007A1EF5">
      <w:pPr>
        <w:spacing w:line="360" w:lineRule="auto"/>
        <w:ind w:left="360"/>
        <w:jc w:val="both"/>
        <w:rPr>
          <w:rFonts w:ascii="Calibri" w:hAnsi="Calibri" w:cs="Arial"/>
        </w:rPr>
      </w:pPr>
    </w:p>
    <w:p w:rsidR="007A1EF5" w:rsidRDefault="007A1EF5">
      <w:pPr>
        <w:numPr>
          <w:ilvl w:val="0"/>
          <w:numId w:val="26"/>
          <w:numberingChange w:id="21" w:author="STV-50-VOGT" w:date="2010-03-17T17:16:00Z" w:original=""/>
        </w:numPr>
        <w:spacing w:line="360" w:lineRule="auto"/>
        <w:jc w:val="both"/>
        <w:rPr>
          <w:rFonts w:ascii="Calibri" w:hAnsi="Calibri" w:cs="Arial"/>
        </w:rPr>
      </w:pPr>
      <w:r>
        <w:rPr>
          <w:rFonts w:ascii="Calibri" w:hAnsi="Calibri" w:cs="Arial"/>
          <w:bCs/>
        </w:rPr>
        <w:t>Räumliche Perspektive und gesamtstädtische Integration: Der Vergleich von Daten auf der räumlichen (kleinräumigen) Ebene ermöglicht es, gegenläufige Entwicklungen festzustellen und besser zu erklären. Außerdem ergeben sich dadurch Möglichkeiten der direkten Einflussnahme, indem stadtteilbezogene Handlungsansätze zur Lösung bzw. Abmilderung vorhandener Problemlagen entwickelt werden. Daher wird das gesamtstädtische Sozialmonitoring um eine Sozialraumanalyse ergänzt, die sich auf wesentliche Datenquellen beschränkt und die Verantwortung für eine genauere Problemerfassung in die Hände der Akteure vor Ort legt. Dies fördert letztlich den gesamtstädtischen Zusammenhalt und verhindert die Verschärfung sozialräumlicher Benachteiligung.</w:t>
      </w:r>
    </w:p>
    <w:p w:rsidR="007A1EF5" w:rsidRDefault="007A1EF5">
      <w:pPr>
        <w:spacing w:line="360" w:lineRule="auto"/>
        <w:ind w:left="360"/>
        <w:jc w:val="both"/>
        <w:rPr>
          <w:rFonts w:ascii="Calibri" w:hAnsi="Calibri" w:cs="Arial"/>
        </w:rPr>
      </w:pPr>
    </w:p>
    <w:p w:rsidR="007A1EF5" w:rsidRDefault="007A1EF5">
      <w:pPr>
        <w:numPr>
          <w:ilvl w:val="0"/>
          <w:numId w:val="26"/>
          <w:numberingChange w:id="22" w:author="STV-50-VOGT" w:date="2010-03-17T17:16:00Z" w:original=""/>
        </w:numPr>
        <w:spacing w:line="360" w:lineRule="auto"/>
        <w:jc w:val="both"/>
        <w:rPr>
          <w:rFonts w:ascii="Calibri" w:hAnsi="Calibri" w:cs="Arial"/>
        </w:rPr>
      </w:pPr>
      <w:r>
        <w:rPr>
          <w:rFonts w:ascii="Calibri" w:hAnsi="Calibri" w:cs="Arial"/>
          <w:bCs/>
        </w:rPr>
        <w:t>Frühwarnsystem und Zeitbezug: Nur eine Sozialberichterstattung mit kontinuierlicher (jährlicher) Fortschreibung ergibt Sinn und zeigt auf, ob sich festgestellte Trends verfestigen. Dies gilt für alle ausgewählten Handlungsfelder. Die Berichterstattung erfüllt insofern eine Ampelfunktion. Positive und auch negative Entwicklungen zu beobachten, ermöglicht es, zeitgemäß auf Problemlagen zu reagieren und diese möglicherweise sogar gar nicht erst entstehen zu lassen. Dadurch lassen sich spätere Folgekosten abwenden, die durch Nichtinformation und Nichthandeln hervorgerufen werden können.</w:t>
      </w:r>
    </w:p>
    <w:p w:rsidR="007A1EF5" w:rsidRDefault="007A1EF5">
      <w:pPr>
        <w:pStyle w:val="ListParagraph"/>
        <w:ind w:left="0"/>
        <w:rPr>
          <w:rFonts w:ascii="Calibri" w:hAnsi="Calibri" w:cs="Arial"/>
        </w:rPr>
      </w:pPr>
    </w:p>
    <w:p w:rsidR="007A1EF5" w:rsidRDefault="007A1EF5">
      <w:pPr>
        <w:numPr>
          <w:ilvl w:val="0"/>
          <w:numId w:val="26"/>
          <w:numberingChange w:id="23" w:author="STV-50-VOGT" w:date="2010-03-17T17:16:00Z" w:original=""/>
        </w:numPr>
        <w:spacing w:line="360" w:lineRule="auto"/>
        <w:jc w:val="both"/>
      </w:pPr>
      <w:r>
        <w:rPr>
          <w:rFonts w:ascii="Calibri" w:hAnsi="Calibri" w:cs="Arial"/>
          <w:bCs/>
        </w:rPr>
        <w:t>Vertretbarer Aufwand und technische Effizienz: Sozialberichten liegt in aller Regel ein wissenschaftliches Konzept zugrunde. Die Berichterstattung der Stadt Leverkusen ist keinem besonderen theoretischen Konzept verpflichtet, sondern hat das Ziel, praxisnahe und praktikable Informationen zur Verfügung zu stellen. Auf eine Diskussion normativer Konzepte zum Berichtsgegenstand (z.B. Armut) sowie zu einzelnen Begriffen oder Konstrukten (z.B. Lebenslage) wird daher verzichtet. Wichtig ist vielmehr, dass vorliegende Informationen auch künftig mit einem vertretbaren Aufwand erhoben und fortgeschrieben werden können. Dazu gehört es zum Einen, künftig eine technische Effizienz für die Datenproduktion und -reproduktion zu gewährleisten. Ohne EDV-technische Unterstützung lässt sich ein Monitoring nicht mit vertretbarem Aufwand fortführen. Zum Anderen bietet es sich vielleicht an, künftig für einzelne Fragestellungen Primärerhebungen durchzuführen.</w:t>
      </w:r>
    </w:p>
    <w:p w:rsidR="007A1EF5" w:rsidRDefault="007A1EF5">
      <w:pPr>
        <w:spacing w:line="360" w:lineRule="auto"/>
        <w:jc w:val="both"/>
      </w:pPr>
    </w:p>
    <w:p w:rsidR="007A1EF5" w:rsidRDefault="007A1EF5">
      <w:pPr>
        <w:numPr>
          <w:ilvl w:val="0"/>
          <w:numId w:val="26"/>
          <w:numberingChange w:id="24" w:author="STV-50-VOGT" w:date="2010-03-17T17:16:00Z" w:original=""/>
        </w:numPr>
        <w:spacing w:line="360" w:lineRule="auto"/>
        <w:jc w:val="both"/>
      </w:pPr>
      <w:r>
        <w:rPr>
          <w:rFonts w:ascii="Calibri" w:hAnsi="Calibri" w:cs="Arial"/>
          <w:bCs/>
        </w:rPr>
        <w:t xml:space="preserve">Die dem Bericht zugrunde liegenden Daten beziehen sich auf unterschiedliche Zeiträume, bzw. Stichtage. Das ist unter anderem dadurch begründet, dass nicht alle Daten zu einem einheitlichen Zeitpunkt zur Verfügung stehen. Zudem erfolgen einige Erhebungen nur im Abstand von mehreren Jahren. </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br w:type="page"/>
      </w:r>
    </w:p>
    <w:p w:rsidR="007A1EF5" w:rsidRDefault="007A1EF5">
      <w:pPr>
        <w:spacing w:line="360" w:lineRule="auto"/>
        <w:jc w:val="both"/>
        <w:outlineLvl w:val="1"/>
        <w:rPr>
          <w:rFonts w:ascii="Calibri" w:hAnsi="Calibri" w:cs="Arial"/>
          <w:b/>
          <w:sz w:val="32"/>
          <w:szCs w:val="32"/>
        </w:rPr>
      </w:pPr>
      <w:r>
        <w:rPr>
          <w:rFonts w:ascii="Calibri" w:hAnsi="Calibri" w:cs="Arial"/>
          <w:b/>
          <w:sz w:val="32"/>
          <w:szCs w:val="32"/>
        </w:rPr>
        <w:t>III. Ergebnisse von Sozialmonitoring und Sozialraumanalyse</w:t>
      </w:r>
    </w:p>
    <w:p w:rsidR="007A1EF5" w:rsidRDefault="007A1EF5">
      <w:pPr>
        <w:pBdr>
          <w:bottom w:val="single" w:sz="4" w:space="1" w:color="auto"/>
        </w:pBdr>
        <w:spacing w:line="360" w:lineRule="auto"/>
        <w:outlineLvl w:val="1"/>
        <w:rPr>
          <w:rFonts w:ascii="Calibri" w:hAnsi="Calibri" w:cs="Arial"/>
        </w:rPr>
      </w:pPr>
    </w:p>
    <w:p w:rsidR="007A1EF5" w:rsidRPr="00FF09C0" w:rsidRDefault="007A1EF5">
      <w:pPr>
        <w:pBdr>
          <w:bottom w:val="single" w:sz="4" w:space="1" w:color="auto"/>
        </w:pBdr>
        <w:spacing w:line="360" w:lineRule="auto"/>
        <w:outlineLvl w:val="1"/>
        <w:rPr>
          <w:rFonts w:ascii="Calibri" w:hAnsi="Calibri" w:cs="Arial"/>
          <w:b/>
        </w:rPr>
      </w:pPr>
      <w:r w:rsidRPr="00FF09C0">
        <w:rPr>
          <w:rFonts w:ascii="Calibri" w:hAnsi="Calibri" w:cs="Arial"/>
          <w:b/>
        </w:rPr>
        <w:t>III.1. Ergebnisse der Sozialmonitorings</w:t>
      </w:r>
    </w:p>
    <w:p w:rsidR="007A1EF5" w:rsidRDefault="007A1EF5">
      <w:pPr>
        <w:pBdr>
          <w:bottom w:val="single" w:sz="4" w:space="1" w:color="auto"/>
        </w:pBdr>
        <w:spacing w:line="360" w:lineRule="auto"/>
        <w:outlineLvl w:val="1"/>
        <w:rPr>
          <w:rFonts w:ascii="Calibri" w:hAnsi="Calibri" w:cs="Arial"/>
        </w:rPr>
      </w:pPr>
    </w:p>
    <w:p w:rsidR="007A1EF5" w:rsidRDefault="007A1EF5">
      <w:pPr>
        <w:pBdr>
          <w:bottom w:val="single" w:sz="4" w:space="1" w:color="auto"/>
        </w:pBdr>
        <w:spacing w:line="360" w:lineRule="auto"/>
        <w:outlineLvl w:val="1"/>
        <w:rPr>
          <w:rFonts w:ascii="Calibri" w:hAnsi="Calibri" w:cs="Arial"/>
        </w:rPr>
      </w:pPr>
      <w:r>
        <w:rPr>
          <w:rFonts w:ascii="Calibri" w:hAnsi="Calibri" w:cs="Arial"/>
        </w:rPr>
        <w:t>Nachfolgend sollen nun im Detail die mit der beschriebenen Methodik gewonnen Erkenntnisse dargestellt werden.</w:t>
      </w:r>
    </w:p>
    <w:p w:rsidR="007A1EF5" w:rsidRDefault="007A1EF5">
      <w:pPr>
        <w:pBdr>
          <w:bottom w:val="single" w:sz="4" w:space="1" w:color="auto"/>
        </w:pBdr>
        <w:spacing w:line="360" w:lineRule="auto"/>
        <w:outlineLvl w:val="1"/>
        <w:rPr>
          <w:rFonts w:ascii="Calibri" w:hAnsi="Calibri" w:cs="Arial"/>
        </w:rPr>
      </w:pPr>
    </w:p>
    <w:p w:rsidR="007A1EF5" w:rsidRPr="00FF09C0" w:rsidRDefault="007A1EF5">
      <w:pPr>
        <w:pBdr>
          <w:bottom w:val="single" w:sz="4" w:space="1" w:color="auto"/>
        </w:pBdr>
        <w:spacing w:line="360" w:lineRule="auto"/>
        <w:outlineLvl w:val="1"/>
        <w:rPr>
          <w:rFonts w:ascii="Calibri" w:hAnsi="Calibri" w:cs="Arial"/>
          <w:b/>
        </w:rPr>
      </w:pPr>
      <w:r w:rsidRPr="00FF09C0">
        <w:rPr>
          <w:rFonts w:ascii="Calibri" w:hAnsi="Calibri" w:cs="Arial"/>
          <w:b/>
        </w:rPr>
        <w:t>(1) Basisdaten zur Leverkusener Bevölkerungsstruktur</w:t>
      </w:r>
    </w:p>
    <w:p w:rsidR="007A1EF5" w:rsidRDefault="007A1EF5">
      <w:pPr>
        <w:pBdr>
          <w:bottom w:val="single" w:sz="4" w:space="1" w:color="auto"/>
        </w:pBdr>
        <w:spacing w:line="360" w:lineRule="auto"/>
        <w:outlineLvl w:val="1"/>
        <w:rPr>
          <w:rFonts w:ascii="Calibri" w:hAnsi="Calibri" w:cs="Arial"/>
        </w:rPr>
      </w:pPr>
      <w:r>
        <w:rPr>
          <w:rFonts w:ascii="Calibri" w:hAnsi="Calibri" w:cs="Arial"/>
        </w:rPr>
        <w:br/>
        <w:t>Zunächst ist ein vertiefter Blick auf die Basisdaten der Bevölkerungsstruktur notwendig.</w:t>
      </w:r>
      <w:r>
        <w:rPr>
          <w:rFonts w:ascii="Calibri" w:hAnsi="Calibri" w:cs="Arial"/>
        </w:rPr>
        <w:br/>
      </w:r>
    </w:p>
    <w:p w:rsidR="007A1EF5" w:rsidRDefault="007A1EF5">
      <w:pPr>
        <w:spacing w:line="360" w:lineRule="auto"/>
        <w:rPr>
          <w:rFonts w:ascii="Calibri" w:hAnsi="Calibri" w:cs="Arial"/>
        </w:rPr>
      </w:pPr>
    </w:p>
    <w:tbl>
      <w:tblPr>
        <w:tblW w:w="3711" w:type="pct"/>
        <w:tblBorders>
          <w:top w:val="single" w:sz="8" w:space="0" w:color="9BBB59"/>
          <w:bottom w:val="single" w:sz="8" w:space="0" w:color="9BBB59"/>
        </w:tblBorders>
        <w:tblLook w:val="0000"/>
      </w:tblPr>
      <w:tblGrid>
        <w:gridCol w:w="4784"/>
        <w:gridCol w:w="2108"/>
      </w:tblGrid>
      <w:tr w:rsidR="007A1EF5">
        <w:trPr>
          <w:trHeight w:val="397"/>
        </w:trPr>
        <w:tc>
          <w:tcPr>
            <w:tcW w:w="3471" w:type="pct"/>
            <w:tcBorders>
              <w:top w:val="single" w:sz="8" w:space="0" w:color="9BBB59"/>
            </w:tcBorders>
          </w:tcPr>
          <w:p w:rsidR="007A1EF5" w:rsidRDefault="007A1EF5">
            <w:pPr>
              <w:spacing w:line="360" w:lineRule="auto"/>
              <w:rPr>
                <w:rFonts w:ascii="Calibri" w:hAnsi="Calibri" w:cs="Arial"/>
              </w:rPr>
            </w:pPr>
            <w:r>
              <w:rPr>
                <w:rFonts w:ascii="Calibri" w:hAnsi="Calibri" w:cs="Arial"/>
                <w:bCs/>
                <w:sz w:val="22"/>
                <w:szCs w:val="22"/>
              </w:rPr>
              <w:t>Indikator</w:t>
            </w:r>
          </w:p>
        </w:tc>
        <w:tc>
          <w:tcPr>
            <w:tcW w:w="1529" w:type="pct"/>
            <w:tcBorders>
              <w:top w:val="single" w:sz="8" w:space="0" w:color="9BBB59"/>
            </w:tcBorders>
          </w:tcPr>
          <w:p w:rsidR="007A1EF5" w:rsidRDefault="007A1EF5">
            <w:pPr>
              <w:spacing w:line="360" w:lineRule="auto"/>
              <w:jc w:val="right"/>
              <w:rPr>
                <w:rFonts w:ascii="Calibri" w:hAnsi="Calibri" w:cs="Arial"/>
              </w:rPr>
            </w:pPr>
            <w:r>
              <w:rPr>
                <w:rFonts w:ascii="Calibri" w:hAnsi="Calibri" w:cs="Arial"/>
                <w:bCs/>
                <w:sz w:val="22"/>
                <w:szCs w:val="22"/>
              </w:rPr>
              <w:t xml:space="preserve">31.12.2007 </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Bevölkerung in Personen</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162.130</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Bevölkerungsdichte in Personen/ha</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20,6</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Wanderungssaldo in Personen</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+205</w:t>
            </w:r>
            <w:r>
              <w:rPr>
                <w:rFonts w:ascii="Calibri" w:hAnsi="Calibri" w:cs="Arial"/>
                <w:bCs/>
                <w:sz w:val="22"/>
                <w:szCs w:val="22"/>
              </w:rPr>
              <w:t xml:space="preserve"> </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Haushalte in Anzahl</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77.744</w:t>
            </w:r>
            <w:r>
              <w:rPr>
                <w:rFonts w:ascii="Calibri" w:hAnsi="Calibri" w:cs="Arial"/>
                <w:bCs/>
                <w:sz w:val="22"/>
                <w:szCs w:val="22"/>
              </w:rPr>
              <w:t xml:space="preserve"> </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Durchschnittliche Haushaltsgröße</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2,01</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Anteil Personen mit ausl. Staatsangehörigkeit</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11,6 Prozent</w:t>
            </w:r>
            <w:r>
              <w:rPr>
                <w:rFonts w:ascii="Calibri" w:hAnsi="Calibri" w:cs="Arial"/>
                <w:bCs/>
                <w:sz w:val="22"/>
                <w:szCs w:val="22"/>
              </w:rPr>
              <w:t xml:space="preserve"> </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Anteil Personen mit ausl./doppelt. Staatsang.</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21,1 Prozent</w:t>
            </w:r>
            <w:r>
              <w:rPr>
                <w:rFonts w:ascii="Calibri" w:hAnsi="Calibri" w:cs="Arial"/>
                <w:bCs/>
                <w:sz w:val="22"/>
                <w:szCs w:val="22"/>
              </w:rPr>
              <w:t xml:space="preserve"> </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Geburtenziffer</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1,42</w:t>
            </w:r>
          </w:p>
        </w:tc>
      </w:tr>
      <w:tr w:rsidR="007A1EF5">
        <w:trPr>
          <w:trHeight w:val="284"/>
        </w:trPr>
        <w:tc>
          <w:tcPr>
            <w:tcW w:w="3471" w:type="pct"/>
          </w:tcPr>
          <w:p w:rsidR="007A1EF5" w:rsidRDefault="007A1EF5">
            <w:pPr>
              <w:spacing w:line="360" w:lineRule="auto"/>
              <w:rPr>
                <w:rFonts w:ascii="Calibri" w:hAnsi="Calibri" w:cs="Arial"/>
              </w:rPr>
            </w:pPr>
            <w:r>
              <w:rPr>
                <w:rFonts w:ascii="Calibri" w:hAnsi="Calibri" w:cs="Arial"/>
                <w:sz w:val="22"/>
                <w:szCs w:val="22"/>
              </w:rPr>
              <w:t>Anteil von Personen unter 25 Jahren</w:t>
            </w:r>
          </w:p>
        </w:tc>
        <w:tc>
          <w:tcPr>
            <w:tcW w:w="1529" w:type="pct"/>
          </w:tcPr>
          <w:p w:rsidR="007A1EF5" w:rsidRDefault="007A1EF5">
            <w:pPr>
              <w:spacing w:line="360" w:lineRule="auto"/>
              <w:jc w:val="right"/>
              <w:rPr>
                <w:rFonts w:ascii="Calibri" w:hAnsi="Calibri" w:cs="Arial"/>
              </w:rPr>
            </w:pPr>
            <w:r>
              <w:rPr>
                <w:rFonts w:ascii="Calibri" w:hAnsi="Calibri" w:cs="Arial"/>
                <w:sz w:val="22"/>
                <w:szCs w:val="22"/>
              </w:rPr>
              <w:t>24,8 Prozent</w:t>
            </w:r>
            <w:r>
              <w:rPr>
                <w:rFonts w:ascii="Calibri" w:hAnsi="Calibri" w:cs="Arial"/>
                <w:bCs/>
                <w:sz w:val="22"/>
                <w:szCs w:val="22"/>
              </w:rPr>
              <w:t xml:space="preserve"> </w:t>
            </w:r>
          </w:p>
        </w:tc>
      </w:tr>
      <w:tr w:rsidR="007A1EF5">
        <w:trPr>
          <w:trHeight w:val="284"/>
        </w:trPr>
        <w:tc>
          <w:tcPr>
            <w:tcW w:w="3471" w:type="pct"/>
            <w:tcBorders>
              <w:bottom w:val="single" w:sz="8" w:space="0" w:color="9BBB59"/>
            </w:tcBorders>
          </w:tcPr>
          <w:p w:rsidR="007A1EF5" w:rsidRDefault="007A1EF5">
            <w:pPr>
              <w:spacing w:line="360" w:lineRule="auto"/>
              <w:rPr>
                <w:rFonts w:ascii="Calibri" w:hAnsi="Calibri" w:cs="Arial"/>
              </w:rPr>
            </w:pPr>
            <w:r>
              <w:rPr>
                <w:noProof/>
              </w:rPr>
              <w:pict>
                <v:shapetype id="_x0000_t202" coordsize="21600,21600" o:spt="202" path="m,l,21600r21600,l21600,xe">
                  <v:stroke joinstyle="miter"/>
                  <v:path gradientshapeok="t" o:connecttype="rect"/>
                </v:shapetype>
                <v:shape id="_x0000_s1026" type="#_x0000_t202" style="position:absolute;margin-left:131.15pt;margin-top:17.4pt;width:57.6pt;height:17.9pt;z-index:251635712;mso-position-horizontal-relative:text;mso-position-vertical-relative:text" filled="f" stroked="f">
                  <v:textbox style="mso-next-textbox:#_x0000_s1026">
                    <w:txbxContent>
                      <w:p w:rsidR="007A1EF5" w:rsidRPr="00931AD9" w:rsidRDefault="007A1EF5">
                        <w:pPr>
                          <w:rPr>
                            <w:sz w:val="16"/>
                            <w:szCs w:val="16"/>
                          </w:rPr>
                        </w:pPr>
                        <w:r w:rsidRPr="00931AD9">
                          <w:rPr>
                            <w:sz w:val="16"/>
                            <w:szCs w:val="16"/>
                          </w:rPr>
                          <w:t>Abbildung 1</w:t>
                        </w:r>
                      </w:p>
                    </w:txbxContent>
                  </v:textbox>
                </v:shape>
              </w:pict>
            </w:r>
            <w:r>
              <w:rPr>
                <w:rFonts w:ascii="Calibri" w:hAnsi="Calibri" w:cs="Arial"/>
                <w:sz w:val="22"/>
                <w:szCs w:val="22"/>
              </w:rPr>
              <w:t>Anteil von Person ab 65 Jahren</w:t>
            </w:r>
          </w:p>
        </w:tc>
        <w:tc>
          <w:tcPr>
            <w:tcW w:w="1529" w:type="pct"/>
            <w:tcBorders>
              <w:bottom w:val="single" w:sz="8" w:space="0" w:color="9BBB59"/>
            </w:tcBorders>
          </w:tcPr>
          <w:p w:rsidR="007A1EF5" w:rsidRDefault="007A1EF5">
            <w:pPr>
              <w:spacing w:line="360" w:lineRule="auto"/>
              <w:jc w:val="right"/>
              <w:rPr>
                <w:rFonts w:ascii="Calibri" w:hAnsi="Calibri" w:cs="Arial"/>
              </w:rPr>
            </w:pPr>
            <w:r>
              <w:rPr>
                <w:rFonts w:ascii="Calibri" w:hAnsi="Calibri" w:cs="Arial"/>
                <w:sz w:val="22"/>
                <w:szCs w:val="22"/>
              </w:rPr>
              <w:t>21,7 Prozent</w:t>
            </w:r>
            <w:r>
              <w:rPr>
                <w:rFonts w:ascii="Calibri" w:hAnsi="Calibri" w:cs="Arial"/>
                <w:bCs/>
                <w:sz w:val="22"/>
                <w:szCs w:val="22"/>
              </w:rPr>
              <w:t xml:space="preserve"> </w:t>
            </w:r>
          </w:p>
        </w:tc>
      </w:tr>
    </w:tbl>
    <w:p w:rsidR="007A1EF5" w:rsidRDefault="007A1EF5">
      <w:pPr>
        <w:spacing w:line="360" w:lineRule="auto"/>
        <w:rPr>
          <w:rFonts w:ascii="Calibri" w:hAnsi="Calibri" w:cs="Arial"/>
        </w:rPr>
      </w:pPr>
    </w:p>
    <w:p w:rsidR="007A1EF5" w:rsidRDefault="007A1EF5">
      <w:pPr>
        <w:spacing w:line="360" w:lineRule="auto"/>
        <w:jc w:val="both"/>
        <w:rPr>
          <w:rFonts w:ascii="Calibri" w:hAnsi="Calibri" w:cs="Arial"/>
        </w:rPr>
      </w:pPr>
      <w:r>
        <w:rPr>
          <w:rFonts w:ascii="Calibri" w:hAnsi="Calibri" w:cs="Arial"/>
        </w:rPr>
        <w:t>Die Entwicklung der lokalen Bevölkerungsstruktur ist ein wichtiger Bezugspunkt für die nachfolgend dargestellten Handlungsfelder der Sozialberichterstattung. Diese unterliegt einem strukturellen Wandel. In der Stadt leben schon jetzt mehr ältere und weniger jüngere Menschen und mehr Menschen mit ausländischer Herkunft, als jemals zuvor. Auch bei den privaten Haushalten zeigen sich deutliche Veränderungen.</w:t>
      </w:r>
    </w:p>
    <w:p w:rsidR="007A1EF5" w:rsidRDefault="007A1EF5">
      <w:pPr>
        <w:spacing w:line="360" w:lineRule="auto"/>
        <w:rPr>
          <w:rFonts w:ascii="Calibri" w:hAnsi="Calibri" w:cs="Arial"/>
        </w:rPr>
      </w:pPr>
      <w:r>
        <w:rPr>
          <w:rFonts w:ascii="Calibri" w:hAnsi="Calibri" w:cs="Arial"/>
        </w:rPr>
        <w:br w:type="page"/>
      </w:r>
    </w:p>
    <w:p w:rsidR="007A1EF5" w:rsidRDefault="007A1EF5">
      <w:pPr>
        <w:numPr>
          <w:ilvl w:val="0"/>
          <w:numId w:val="23"/>
          <w:numberingChange w:id="25" w:author="STV-50-VOGT" w:date="2010-03-17T17:16:00Z" w:original=""/>
        </w:numPr>
        <w:spacing w:line="360" w:lineRule="auto"/>
        <w:rPr>
          <w:rFonts w:ascii="Calibri" w:hAnsi="Calibri" w:cs="Arial"/>
        </w:rPr>
      </w:pPr>
      <w:r>
        <w:rPr>
          <w:rFonts w:ascii="Calibri" w:hAnsi="Calibri" w:cs="Arial"/>
        </w:rPr>
        <w:t>Bevölkerungsentwicklung</w:t>
      </w:r>
    </w:p>
    <w:p w:rsidR="007A1EF5" w:rsidRDefault="007A1EF5">
      <w:pPr>
        <w:spacing w:line="360" w:lineRule="auto"/>
        <w:jc w:val="both"/>
        <w:rPr>
          <w:rFonts w:ascii="Calibri" w:hAnsi="Calibri" w:cs="Arial"/>
        </w:rPr>
      </w:pPr>
      <w:r>
        <w:rPr>
          <w:rFonts w:ascii="Calibri" w:hAnsi="Calibri" w:cs="Arial"/>
        </w:rPr>
        <w:t>Die Entwicklung der wohnberechtigen Bevölkerung (Abbildung 2) ist in Leverkusen noch sehr konstant. Inwieweit sich die Leverkusener Entwicklung nun dem allgemeinen demografischen Trend annähert, bleibt abzuwarten. Besonders auffällig ist jedoch, dass die Bevölkerungsentwicklung in den Stadtgebieten unterschiedlich ausfällt. Während in Hitdorf und in der Waldsiedlung (wie auch im Stadtteil Schlebusch insgesamt) Bevölkerungszuwächse von 18,6 bzw. 6,5 Prozent festzustellen sind, weisen die meisten anderen Stadtteile leichte Verluste auf. Die Bevölkerungsvorausberechnungen des statistischen Landesamts weisen für die nächsten Jahre keinen abweichend vom bundes- und landesweiten Trend keinen deutlichen Rückgang aus. Bis 2030 ist eine Schrumpfung der Bevölkerung in Leverkusen nicht zu erwarten. Eine Veränderung wird sich lediglich bei der Bevölkerungsstruktur ergeben.</w:t>
      </w:r>
    </w:p>
    <w:p w:rsidR="007A1EF5" w:rsidRDefault="007A1EF5">
      <w:pPr>
        <w:spacing w:line="360" w:lineRule="auto"/>
        <w:ind w:left="720"/>
        <w:rPr>
          <w:rFonts w:ascii="Calibri" w:hAnsi="Calibri" w:cs="Arial"/>
        </w:rPr>
      </w:pPr>
    </w:p>
    <w:p w:rsidR="007A1EF5" w:rsidRDefault="007A1EF5">
      <w:pPr>
        <w:spacing w:line="360" w:lineRule="auto"/>
        <w:rPr>
          <w:rFonts w:ascii="Calibri" w:hAnsi="Calibri" w:cs="Arial"/>
        </w:rPr>
      </w:pPr>
      <w:r>
        <w:rPr>
          <w:noProof/>
        </w:rPr>
        <w:pict>
          <v:shape id="_x0000_s1027" type="#_x0000_t202" style="position:absolute;margin-left:176.15pt;margin-top:253pt;width:57.6pt;height:17.9pt;z-index:251636736" filled="f" stroked="f">
            <v:textbox style="mso-next-textbox:#_x0000_s1027">
              <w:txbxContent>
                <w:p w:rsidR="007A1EF5" w:rsidRPr="00931AD9" w:rsidRDefault="007A1EF5">
                  <w:pPr>
                    <w:rPr>
                      <w:sz w:val="16"/>
                      <w:szCs w:val="16"/>
                    </w:rPr>
                  </w:pPr>
                  <w:r w:rsidRPr="00931AD9">
                    <w:rPr>
                      <w:sz w:val="16"/>
                      <w:szCs w:val="16"/>
                    </w:rPr>
                    <w:t>Abbildung</w:t>
                  </w:r>
                  <w:r>
                    <w:rPr>
                      <w:sz w:val="16"/>
                      <w:szCs w:val="16"/>
                    </w:rPr>
                    <w:t xml:space="preserve"> 2</w:t>
                  </w:r>
                </w:p>
              </w:txbxContent>
            </v:textbox>
          </v:shape>
        </w:pict>
      </w:r>
      <w:r>
        <w:rPr>
          <w:noProof/>
        </w:rPr>
        <w:pict>
          <v:shape id="_x0000_s1028" type="#_x0000_t202" style="position:absolute;margin-left:122.15pt;margin-top:253pt;width:225pt;height:27pt;z-index:251634688" filled="f" stroked="f">
            <v:textbox style="mso-next-textbox:#_x0000_s1028">
              <w:txbxContent>
                <w:p w:rsidR="007A1EF5" w:rsidRDefault="007A1EF5"/>
              </w:txbxContent>
            </v:textbox>
          </v:shape>
        </w:pict>
      </w:r>
      <w:r w:rsidRPr="00DD0F19">
        <w:rPr>
          <w:rFonts w:ascii="Calibri" w:hAnsi="Calibri" w:cs="Arial"/>
          <w:noProof/>
        </w:rPr>
        <w:object w:dxaOrig="8670" w:dyaOrig="5050">
          <v:shape id="Diagramm 1" o:spid="_x0000_i1026" type="#_x0000_t75" style="width:433.5pt;height:252.75pt;visibility:visible" o:ole="">
            <v:imagedata r:id="rId7" o:title=""/>
            <o:lock v:ext="edit" aspectratio="f"/>
          </v:shape>
          <o:OLEObject Type="Embed" ProgID="Excel.Chart.8" ShapeID="Diagramm 1" DrawAspect="Content" ObjectID="_1330351628" r:id="rId8"/>
        </w:object>
      </w:r>
    </w:p>
    <w:p w:rsidR="007A1EF5" w:rsidRDefault="007A1EF5">
      <w:pPr>
        <w:spacing w:line="360" w:lineRule="auto"/>
        <w:rPr>
          <w:rFonts w:ascii="Calibri" w:hAnsi="Calibri" w:cs="Arial"/>
        </w:rPr>
      </w:pPr>
    </w:p>
    <w:p w:rsidR="007A1EF5" w:rsidRDefault="007A1EF5">
      <w:pPr>
        <w:numPr>
          <w:ilvl w:val="0"/>
          <w:numId w:val="23"/>
          <w:numberingChange w:id="26" w:author="STV-50-VOGT" w:date="2010-03-17T17:16:00Z" w:original=""/>
        </w:numPr>
        <w:spacing w:line="360" w:lineRule="auto"/>
        <w:rPr>
          <w:rFonts w:ascii="Calibri" w:hAnsi="Calibri" w:cs="Arial"/>
        </w:rPr>
      </w:pPr>
      <w:r>
        <w:rPr>
          <w:rFonts w:ascii="Calibri" w:hAnsi="Calibri" w:cs="Arial"/>
        </w:rPr>
        <w:t>Altersstruktur der Bevölkerung</w:t>
      </w:r>
    </w:p>
    <w:p w:rsidR="007A1EF5" w:rsidRDefault="007A1EF5">
      <w:pPr>
        <w:spacing w:line="360" w:lineRule="auto"/>
        <w:jc w:val="both"/>
        <w:rPr>
          <w:rFonts w:ascii="Calibri" w:hAnsi="Calibri" w:cs="Arial"/>
        </w:rPr>
      </w:pPr>
      <w:r>
        <w:rPr>
          <w:rFonts w:ascii="Calibri" w:hAnsi="Calibri" w:cs="Arial"/>
        </w:rPr>
        <w:t>Der demografische Wandel geht in Leverkusen auch hinsichtlich von Veränderungen bei der Altersstruktur noch vergleichsweise langsam voran. Der Anteil der 45 bis 65 jährigen Menschen an der Gesamtbevölkerung ist hier relativ stabil, auch ein Grund, weshalb mit einem deutlichen Rückgang der Gesamtbevölkerungszahl erst zur Mitte des Jahrhunderts hin zu rechnen ist. Außerdem ist der Anteil der Altersgruppe von über 65-Jährigen noch relativ gering. Dennoch: Auch in Leverkusen nimmt der Anteil junger Menschen weiter ab, während der Anteil älterer Menschen zunimmt. Die beiden Kreisdiagramme stellen einen direkten Vergleich zwischen den Altersgruppen im Jahre 1998 und 2008 her. Deutlich wird, dass die Altersgruppe der Personen ab 65 Jahre und älter relativ bereits stark zugenommen hat, während die Gruppe der Personen unter 16 Jahren zurückgegangen ist.</w:t>
      </w:r>
    </w:p>
    <w:p w:rsidR="007A1EF5" w:rsidRDefault="007A1EF5">
      <w:pPr>
        <w:spacing w:line="360" w:lineRule="auto"/>
        <w:jc w:val="both"/>
        <w:rPr>
          <w:rFonts w:ascii="Calibri" w:hAnsi="Calibri" w:cs="Arial"/>
        </w:rPr>
      </w:pPr>
    </w:p>
    <w:p w:rsidR="007A1EF5" w:rsidRDefault="007A1EF5">
      <w:pPr>
        <w:spacing w:line="360" w:lineRule="auto"/>
        <w:rPr>
          <w:rFonts w:ascii="Calibri" w:hAnsi="Calibri" w:cs="Arial"/>
        </w:rPr>
      </w:pPr>
      <w:r w:rsidRPr="00DD0F19">
        <w:rPr>
          <w:rFonts w:ascii="Calibri" w:hAnsi="Calibri" w:cs="Arial"/>
          <w:noProof/>
        </w:rPr>
        <w:object w:dxaOrig="7921" w:dyaOrig="4167">
          <v:shape id="Objekt 3" o:spid="_x0000_i1027" type="#_x0000_t75" style="width:396pt;height:209.25pt;visibility:visible" o:ole="">
            <v:imagedata r:id="rId9" o:title="" cropbottom="-220f"/>
            <o:lock v:ext="edit" aspectratio="f"/>
          </v:shape>
          <o:OLEObject Type="Embed" ProgID="Excel.Chart.8" ShapeID="Objekt 3" DrawAspect="Content" ObjectID="_1330351629" r:id="rId10"/>
        </w:object>
      </w:r>
    </w:p>
    <w:p w:rsidR="007A1EF5" w:rsidRDefault="007A1EF5">
      <w:pPr>
        <w:spacing w:line="360" w:lineRule="auto"/>
        <w:rPr>
          <w:rFonts w:ascii="Calibri" w:hAnsi="Calibri" w:cs="Arial"/>
        </w:rPr>
      </w:pPr>
      <w:r>
        <w:rPr>
          <w:noProof/>
        </w:rPr>
        <w:pict>
          <v:shape id="_x0000_s1029" type="#_x0000_t202" style="position:absolute;margin-left:185.15pt;margin-top:272.15pt;width:57.6pt;height:17.9pt;z-index:251637760" filled="f" stroked="f">
            <v:textbox style="mso-next-textbox:#_x0000_s1029">
              <w:txbxContent>
                <w:p w:rsidR="007A1EF5" w:rsidRPr="00931AD9" w:rsidRDefault="007A1EF5">
                  <w:pPr>
                    <w:rPr>
                      <w:sz w:val="16"/>
                      <w:szCs w:val="16"/>
                    </w:rPr>
                  </w:pPr>
                  <w:r>
                    <w:rPr>
                      <w:sz w:val="16"/>
                      <w:szCs w:val="16"/>
                    </w:rPr>
                    <w:t>Abbildung 3</w:t>
                  </w:r>
                </w:p>
              </w:txbxContent>
            </v:textbox>
          </v:shape>
        </w:pict>
      </w:r>
      <w:r w:rsidRPr="00DD0F19">
        <w:rPr>
          <w:rFonts w:ascii="Calibri" w:hAnsi="Calibri" w:cs="Arial"/>
          <w:noProof/>
        </w:rPr>
        <w:object w:dxaOrig="7921" w:dyaOrig="4887">
          <v:shape id="Objekt 4" o:spid="_x0000_i1028" type="#_x0000_t75" style="width:396pt;height:245.25pt;visibility:visible" o:ole="">
            <v:imagedata r:id="rId11" o:title="" cropbottom="-188f" cropright="-25f"/>
            <o:lock v:ext="edit" aspectratio="f"/>
          </v:shape>
          <o:OLEObject Type="Embed" ProgID="Excel.Chart.8" ShapeID="Objekt 4" DrawAspect="Content" ObjectID="_1330351630" r:id="rId12"/>
        </w:object>
      </w:r>
    </w:p>
    <w:p w:rsidR="007A1EF5" w:rsidRDefault="007A1EF5">
      <w:pPr>
        <w:spacing w:line="360" w:lineRule="auto"/>
        <w:rPr>
          <w:rFonts w:ascii="Calibri" w:hAnsi="Calibri" w:cs="Arial"/>
        </w:rPr>
      </w:pPr>
      <w:r w:rsidRPr="00DD0F19">
        <w:rPr>
          <w:rFonts w:ascii="Calibri" w:hAnsi="Calibri" w:cs="Arial"/>
          <w:noProof/>
        </w:rPr>
        <w:object w:dxaOrig="8670" w:dyaOrig="2602">
          <v:shape id="Objekt 5" o:spid="_x0000_i1029" type="#_x0000_t75" style="width:431.25pt;height:151.5pt;visibility:visible" o:ole="">
            <v:imagedata r:id="rId13" o:title="" croptop="-5314f" cropbottom="-7002f" cropleft="-1595f" cropright="-1504f"/>
            <o:lock v:ext="edit" aspectratio="f"/>
          </v:shape>
          <o:OLEObject Type="Embed" ProgID="Excel.Chart.8" ShapeID="Objekt 5" DrawAspect="Content" ObjectID="_1330351631" r:id="rId14"/>
        </w:object>
      </w:r>
    </w:p>
    <w:p w:rsidR="007A1EF5" w:rsidRDefault="007A1EF5">
      <w:pPr>
        <w:spacing w:line="360" w:lineRule="auto"/>
        <w:rPr>
          <w:rFonts w:ascii="Calibri" w:hAnsi="Calibri" w:cs="Arial"/>
        </w:rPr>
      </w:pPr>
      <w:r w:rsidRPr="00DD0F19">
        <w:rPr>
          <w:rFonts w:ascii="Calibri" w:hAnsi="Calibri" w:cs="Arial"/>
          <w:noProof/>
        </w:rPr>
        <w:object w:dxaOrig="8583" w:dyaOrig="2525">
          <v:shape id="Objekt 6" o:spid="_x0000_i1030" type="#_x0000_t75" style="width:423pt;height:149.25pt;visibility:visible" o:ole="">
            <v:imagedata r:id="rId15" o:title="" croptop="-5476f" cropbottom="-7371f" cropleft="-1542f" cropright="-1581f"/>
            <o:lock v:ext="edit" aspectratio="f"/>
          </v:shape>
          <o:OLEObject Type="Embed" ProgID="Excel.Chart.8" ShapeID="Objekt 6" DrawAspect="Content" ObjectID="_1330351632" r:id="rId16"/>
        </w:object>
      </w:r>
    </w:p>
    <w:p w:rsidR="007A1EF5" w:rsidRDefault="007A1EF5">
      <w:pPr>
        <w:spacing w:line="360" w:lineRule="auto"/>
        <w:rPr>
          <w:rFonts w:ascii="Calibri" w:hAnsi="Calibri" w:cs="Arial"/>
        </w:rPr>
      </w:pPr>
      <w:r>
        <w:rPr>
          <w:noProof/>
        </w:rPr>
        <w:pict>
          <v:shape id="_x0000_s1030" type="#_x0000_t202" style="position:absolute;margin-left:329.15pt;margin-top:110.7pt;width:57.6pt;height:17.9pt;z-index:251638784" filled="f" stroked="f">
            <v:textbox style="mso-next-textbox:#_x0000_s1030">
              <w:txbxContent>
                <w:p w:rsidR="007A1EF5" w:rsidRPr="00931AD9" w:rsidRDefault="007A1EF5">
                  <w:pPr>
                    <w:rPr>
                      <w:sz w:val="16"/>
                      <w:szCs w:val="16"/>
                    </w:rPr>
                  </w:pPr>
                  <w:r w:rsidRPr="00931AD9">
                    <w:rPr>
                      <w:sz w:val="16"/>
                      <w:szCs w:val="16"/>
                    </w:rPr>
                    <w:t xml:space="preserve">Abbildung </w:t>
                  </w:r>
                  <w:r>
                    <w:rPr>
                      <w:sz w:val="16"/>
                      <w:szCs w:val="16"/>
                    </w:rPr>
                    <w:t>4</w:t>
                  </w:r>
                </w:p>
              </w:txbxContent>
            </v:textbox>
          </v:shape>
        </w:pict>
      </w:r>
      <w:r w:rsidRPr="00DD0F19">
        <w:rPr>
          <w:rFonts w:ascii="Calibri" w:hAnsi="Calibri" w:cs="Arial"/>
          <w:noProof/>
        </w:rPr>
        <w:object w:dxaOrig="8593" w:dyaOrig="2266">
          <v:shape id="Objekt 7" o:spid="_x0000_i1031" type="#_x0000_t75" style="width:435.75pt;height:136.5pt;visibility:visible" o:ole="">
            <v:imagedata r:id="rId17" o:title="" croptop="-6102f" cropbottom="-8098f" cropleft="-1541f" cropright="-1510f"/>
            <o:lock v:ext="edit" aspectratio="f"/>
          </v:shape>
          <o:OLEObject Type="Embed" ProgID="Excel.Chart.8" ShapeID="Objekt 7" DrawAspect="Content" ObjectID="_1330351633" r:id="rId18"/>
        </w:object>
      </w:r>
    </w:p>
    <w:p w:rsidR="007A1EF5" w:rsidRDefault="007A1EF5">
      <w:pPr>
        <w:spacing w:line="360" w:lineRule="auto"/>
        <w:jc w:val="both"/>
        <w:rPr>
          <w:rFonts w:ascii="Calibri" w:hAnsi="Calibri" w:cs="Arial"/>
        </w:rPr>
      </w:pPr>
      <w:r>
        <w:rPr>
          <w:rFonts w:ascii="Calibri" w:hAnsi="Calibri" w:cs="Arial"/>
        </w:rPr>
        <w:t>Der Rückgang bei der jungen Bevölkerung führt zu einer veränderten Nachfrage- bzw. Bedarfssituation im Hinblick auf öffentliche Einrichtungen. Der quantitative Leistungsbedarf im Bereich der Altenhilfe wird, relativ zur Bevölkerungsentwicklung betrachtet, zunehmen. Die landesstatische Bevölkerungsprognose für das Jahr 2025 rechnet damit, dass sich die junge Altersgruppe gegenüber dem Jahr 2003 um fast 9 Prozent verringern wird. Die Verschiebung bei den einzelnen Bevölkerungsgruppen gewinnt zunehmend an Dynamik und wird daher in den kommenden Jahren Auswirkungen auf die Angebotsplanung haben.</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numPr>
          <w:ilvl w:val="0"/>
          <w:numId w:val="23"/>
          <w:numberingChange w:id="27" w:author="STV-50-VOGT" w:date="2010-03-17T17:16:00Z" w:original=""/>
        </w:numPr>
        <w:spacing w:line="360" w:lineRule="auto"/>
        <w:rPr>
          <w:rFonts w:ascii="Calibri" w:hAnsi="Calibri" w:cs="Arial"/>
        </w:rPr>
      </w:pPr>
      <w:r>
        <w:rPr>
          <w:rFonts w:ascii="Calibri" w:hAnsi="Calibri" w:cs="Arial"/>
        </w:rPr>
        <w:t>Anteil von Zuwanderinnen und Zuwanderern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Der Anteil der Personen mit einer ausländischen Staatsangehörigkeit hat im Rahmen der Sozialberichterstattung nur eine sehr begrenzte Aussagewirkung. Im Hinblick auf die „erfolgreiche“ gesellschaftliche Integration ist es sinnvoll, bei den Bevölkerungsstrukturdaten einen Blick auf den gemessenen sowie geschätzten Anteil der Einwohnerinnen und Einwohner zu richten, die über eine Zuwanderungsgeschichte verfügen. Dabei ist zu betonen abzustellen, dass Zuwanderung für die Geschichte der Stadt stets prägend war und bis heute ist. Ohne dass Menschen aus aller Herren Länder zunächst „zum Arbeiten beim Bayer“ kamen, wäre die Stadt Leverkusen nicht entstanden. Viele Menschen, die über eine ausländische Herkunft verfügen, haben heute die deutsche Staatsangehörigkeit. Liegt der erhobene statistische Anteil der Personen mit ausschließlich ausländischer Staatsangehörigkeit in Leverkusen daher bei 11,7 Prozent und weist die Stadt Leverkusen hier im Vergleich mit anderen Städten einen Mittelwert auf, so zeigt sich bei näherer Betrachtung, dass Leverkusen zu den Städten mit dem größten Bevölkerungsanteil von Menschen mit Zuwanderungsgeschichte in Nordrhein-Westfalen überhaupt gehört. Statistisch genau darstellen lässt sich der Anteil der Bevölkerungsgruppe, die entweder über einen ausländischen oder einen ausländischen und einen deutschen Pass verfügt. Der Anteil sogenannter „deutscher Doppelstaatler“ und ausländischer Staatsangehöriger stellt einen Annäherungswert an das statistische Konstrukt „Menschen mit Zuwanderungsgeschichte“ dar, und lag in Leverkusen am 31. Dezember 2008 bei 21,2 Prozent. Absolut verfügten über diesen Status 34.361 Leverkusenerinnen bzw. Leverkusener.</w:t>
      </w:r>
    </w:p>
    <w:p w:rsidR="007A1EF5" w:rsidRDefault="007A1EF5">
      <w:pPr>
        <w:spacing w:line="360" w:lineRule="auto"/>
        <w:jc w:val="both"/>
        <w:rPr>
          <w:rFonts w:ascii="Calibri" w:hAnsi="Calibri" w:cs="Arial"/>
        </w:rPr>
      </w:pPr>
      <w:r>
        <w:rPr>
          <w:rFonts w:ascii="Calibri" w:hAnsi="Calibri" w:cs="Arial"/>
        </w:rPr>
        <w:t xml:space="preserve">Der Blick auf die Stadtteile lässt schnell sichtbar werden, dass einige von ihnen einen deutlich höheren Anteil Bewohnerinnen und Bewohnern mit ausländischer oder doppelter Staatsangehörigkeit aufweisen, als andere. In Alkenrath, Manfort, Wiesdorf und in Rheindorf-Nord etwa und im Zentrum von Opladener leben mehr Menschen mit ausländischer oder doppelter Staatsangehörigkeit als andernorts. Statistisch ist darauf hinzuweisen, dass sich die Anzahl von Menschen, die als Zuwanderer gelten, über die Gesamtbevölkerung nicht abschließend erfassen lässt. Allein nicht erfasst werden können 5.784 Aussiedlerinnen und Aussiedler, die in den Jahren 1995 bis 2005 nach Leverkusen gekommen sind (vgl. Zuwanderungsstatistik NRW, Zahlenspiegel 2006, S. 121), und die ausschließlich über einen deutschen Pass verfügen. </w:t>
      </w:r>
    </w:p>
    <w:p w:rsidR="007A1EF5" w:rsidRDefault="007A1EF5">
      <w:pPr>
        <w:spacing w:line="360" w:lineRule="auto"/>
        <w:jc w:val="both"/>
        <w:rPr>
          <w:rFonts w:ascii="Calibri" w:hAnsi="Calibri" w:cs="Arial"/>
        </w:rPr>
      </w:pPr>
      <w:r>
        <w:rPr>
          <w:rFonts w:ascii="Calibri" w:hAnsi="Calibri" w:cs="Arial"/>
        </w:rPr>
        <w:t>So verwundert es nicht, dass der Integrationsbericht des Landes Nordrhein-Westfalen auf Basis des sogenannten Mikrozensus zum Ergebnis kommt, dass in Leverkusen 33,5 Prozent der Bevölkerung über Zuwanderungsgeschichte verfügen (Abbildung 5). Darunter sind dann aber auch beispielsweise viele Personen, die aus den ehemaligen Grenzgebieten von Deutschland etwa zu Polen oder Tschechien (wie Schlesien, Pommern, Ostpreußen oder Böhmen-Mähren) nach Leverkusen gekommen sind.</w:t>
      </w:r>
    </w:p>
    <w:p w:rsidR="007A1EF5" w:rsidRDefault="007A1EF5">
      <w:pPr>
        <w:spacing w:line="360" w:lineRule="auto"/>
        <w:rPr>
          <w:rFonts w:ascii="Calibri" w:hAnsi="Calibri" w:cs="Arial"/>
        </w:rPr>
      </w:pPr>
      <w:r w:rsidRPr="00DD0F19">
        <w:rPr>
          <w:rFonts w:ascii="Calibri" w:hAnsi="Calibri" w:cs="Arial"/>
          <w:noProof/>
        </w:rPr>
        <w:object w:dxaOrig="8199" w:dyaOrig="3658">
          <v:shape id="Objekt 8" o:spid="_x0000_i1032" type="#_x0000_t75" style="width:410.25pt;height:183.75pt;visibility:visible" o:ole="">
            <v:imagedata r:id="rId19" o:title="" cropbottom="-233f"/>
            <o:lock v:ext="edit" aspectratio="f"/>
          </v:shape>
          <o:OLEObject Type="Embed" ProgID="Excel.Chart.8" ShapeID="Objekt 8" DrawAspect="Content" ObjectID="_1330351634" r:id="rId20"/>
        </w:object>
      </w:r>
    </w:p>
    <w:p w:rsidR="007A1EF5" w:rsidRDefault="007A1EF5">
      <w:pPr>
        <w:spacing w:line="360" w:lineRule="auto"/>
        <w:rPr>
          <w:rFonts w:ascii="Calibri" w:hAnsi="Calibri" w:cs="Arial"/>
        </w:rPr>
      </w:pPr>
      <w:r>
        <w:rPr>
          <w:noProof/>
        </w:rPr>
        <w:pict>
          <v:shape id="_x0000_s1031" type="#_x0000_t202" style="position:absolute;margin-left:194.15pt;margin-top:184.45pt;width:57.6pt;height:17.9pt;z-index:251639808" filled="f" stroked="f">
            <v:textbox style="mso-next-textbox:#_x0000_s1031">
              <w:txbxContent>
                <w:p w:rsidR="007A1EF5" w:rsidRPr="00931AD9" w:rsidRDefault="007A1EF5">
                  <w:pPr>
                    <w:rPr>
                      <w:sz w:val="16"/>
                      <w:szCs w:val="16"/>
                    </w:rPr>
                  </w:pPr>
                  <w:r w:rsidRPr="00931AD9">
                    <w:rPr>
                      <w:sz w:val="16"/>
                      <w:szCs w:val="16"/>
                    </w:rPr>
                    <w:t xml:space="preserve">Abbildung </w:t>
                  </w:r>
                  <w:r>
                    <w:rPr>
                      <w:sz w:val="16"/>
                      <w:szCs w:val="16"/>
                    </w:rPr>
                    <w:t>5</w:t>
                  </w:r>
                </w:p>
              </w:txbxContent>
            </v:textbox>
          </v:shape>
        </w:pict>
      </w:r>
      <w:r w:rsidRPr="00DD0F19">
        <w:rPr>
          <w:rFonts w:ascii="Calibri" w:hAnsi="Calibri" w:cs="Arial"/>
          <w:noProof/>
        </w:rPr>
        <w:object w:dxaOrig="8449" w:dyaOrig="3696">
          <v:shape id="_x0000_i1033" type="#_x0000_t75" style="width:422.25pt;height:185.25pt;visibility:visible" o:ole="">
            <v:imagedata r:id="rId21" o:title="" cropbottom="-160f"/>
            <o:lock v:ext="edit" aspectratio="f"/>
          </v:shape>
          <o:OLEObject Type="Embed" ProgID="Excel.Chart.8" ShapeID="_x0000_i1033" DrawAspect="Content" ObjectID="_1330351635" r:id="rId22"/>
        </w:object>
      </w:r>
    </w:p>
    <w:p w:rsidR="007A1EF5" w:rsidRDefault="007A1EF5">
      <w:pPr>
        <w:rPr>
          <w:rFonts w:ascii="Calibri" w:hAnsi="Calibri" w:cs="Arial"/>
        </w:rPr>
      </w:pPr>
      <w:r>
        <w:rPr>
          <w:rFonts w:ascii="Calibri" w:hAnsi="Calibri" w:cs="Arial"/>
        </w:rPr>
        <w:br w:type="page"/>
      </w:r>
    </w:p>
    <w:p w:rsidR="007A1EF5" w:rsidRDefault="007A1EF5">
      <w:pPr>
        <w:numPr>
          <w:ilvl w:val="0"/>
          <w:numId w:val="23"/>
          <w:numberingChange w:id="28" w:author="STV-50-VOGT" w:date="2010-03-17T17:16:00Z" w:original=""/>
        </w:numPr>
        <w:spacing w:line="360" w:lineRule="auto"/>
        <w:rPr>
          <w:rFonts w:ascii="Calibri" w:hAnsi="Calibri" w:cs="Arial"/>
        </w:rPr>
      </w:pPr>
      <w:r>
        <w:rPr>
          <w:rFonts w:ascii="Calibri" w:hAnsi="Calibri" w:cs="Arial"/>
        </w:rPr>
        <w:t>Bevölkerungsdichte</w:t>
      </w:r>
    </w:p>
    <w:p w:rsidR="007A1EF5" w:rsidRDefault="007A1EF5">
      <w:pPr>
        <w:spacing w:line="360" w:lineRule="auto"/>
        <w:jc w:val="both"/>
        <w:rPr>
          <w:rFonts w:ascii="Calibri" w:hAnsi="Calibri" w:cs="Arial"/>
        </w:rPr>
      </w:pPr>
      <w:r>
        <w:rPr>
          <w:rFonts w:ascii="Calibri" w:hAnsi="Calibri" w:cs="Arial"/>
        </w:rPr>
        <w:t>Die Bevölkerungsdichte stellt einen Hinweis auf die Lebensqualität dar. Auf 79 Quadratkilometern Gesamtfläche leben in Leverkusen knapp 162.000 Einwohnerinnen und Einwohner. Dies ergibt für die Gesamtstadt einen Wert von 2.045 Personen je Quadratkilometer. Leverkusen gehört damit zu den am dichtesten besiedelten Räumen Deutschlands überhaupt. Der Deutschlandwert liegt bei 231 Personen. Die starke Dichte hat Einfluss auf den Raum zum Leben. Eine große Bevölkerungsdichte bedingt, dass eine starke Wohnbebauung existiert. Der Anteil sogenannter Siedlungs- und Verkehrsflächen in Leverkusen liegt bei 56,6 Prozent. Pro Quadratmeter Siedlungs- und Verkehrsfläche beträgt die Siedlungsdichte nach Angaben des Bundesamtes für Bauwesen und Raumordnung 3.610 Einwohnerinnen und Einwohner. Bei der Betrachtung der Bevölkerungsdichte in den Stadtteilen bzw. den Stadtbezirken wird deutlich, dass die Bevölkerungsdichte ganz unterschiedlich ausfällt. Im Raum Opladen/Quettingen liegt diese etwa um ein Fünftel höher als in anderen Stadtgebieten.</w:t>
      </w:r>
    </w:p>
    <w:p w:rsidR="007A1EF5" w:rsidRDefault="007A1EF5">
      <w:pPr>
        <w:spacing w:line="360" w:lineRule="auto"/>
        <w:rPr>
          <w:rFonts w:ascii="Calibri" w:hAnsi="Calibri" w:cs="Arial"/>
        </w:rPr>
      </w:pPr>
    </w:p>
    <w:p w:rsidR="007A1EF5" w:rsidRDefault="007A1EF5">
      <w:pPr>
        <w:numPr>
          <w:ilvl w:val="0"/>
          <w:numId w:val="23"/>
          <w:numberingChange w:id="29" w:author="STV-50-VOGT" w:date="2010-03-17T17:16:00Z" w:original=""/>
        </w:numPr>
        <w:spacing w:line="360" w:lineRule="auto"/>
        <w:rPr>
          <w:rFonts w:ascii="Calibri" w:hAnsi="Calibri" w:cs="Arial"/>
        </w:rPr>
      </w:pPr>
      <w:r>
        <w:rPr>
          <w:rFonts w:ascii="Calibri" w:hAnsi="Calibri" w:cs="Arial"/>
        </w:rPr>
        <w:t>Wanderungssaldo und Geburtenentwicklung</w:t>
      </w:r>
    </w:p>
    <w:p w:rsidR="007A1EF5" w:rsidRDefault="007A1EF5">
      <w:pPr>
        <w:spacing w:line="360" w:lineRule="auto"/>
        <w:jc w:val="both"/>
        <w:rPr>
          <w:rFonts w:ascii="Calibri" w:hAnsi="Calibri" w:cs="Arial"/>
        </w:rPr>
      </w:pPr>
      <w:r>
        <w:rPr>
          <w:rFonts w:ascii="Calibri" w:hAnsi="Calibri" w:cs="Arial"/>
        </w:rPr>
        <w:t>Nach Leverkusen zogen in den letzten Jahren etwas mehr Personen hin, als aus Leverkusen in andere Städte davon zogen. Das sogenannte Wanderungssaldo lag 2007 bei 205 Personen. Die Geburten- gegenüber der Sterbezahl betrachtet zeigt, dass per Saldo zuletzt etwas mehr Menschen starben, als geboren wurden. Insgesamt ist die Geburtenentwicklung zwar leicht rückläufig, aber in Leverkusen noch relativ konstant etwa gegenüber dem Bundes- oder Landestrend, wo sich der demografische Wandel hinsichtlich des Bevölkerungsrückgangs stärker bemerkbar macht.</w:t>
      </w:r>
    </w:p>
    <w:p w:rsidR="007A1EF5" w:rsidRDefault="007A1EF5">
      <w:pPr>
        <w:spacing w:line="360" w:lineRule="auto"/>
        <w:rPr>
          <w:rFonts w:ascii="Calibri" w:hAnsi="Calibri" w:cs="Arial"/>
        </w:rPr>
      </w:pPr>
      <w:r w:rsidRPr="00DD0F19">
        <w:rPr>
          <w:rFonts w:ascii="Calibri" w:hAnsi="Calibri" w:cs="Arial"/>
          <w:noProof/>
        </w:rPr>
        <w:object w:dxaOrig="8017" w:dyaOrig="3504">
          <v:shape id="Objekt 10" o:spid="_x0000_i1034" type="#_x0000_t75" style="width:425.25pt;height:193.5pt;visibility:visible" o:ole="">
            <v:imagedata r:id="rId23" o:title="" croptop="-3591f" cropbottom="-4769f" cropleft="-2199f" cropright="-1758f"/>
            <o:lock v:ext="edit" aspectratio="f"/>
          </v:shape>
          <o:OLEObject Type="Embed" ProgID="Excel.Chart.8" ShapeID="Objekt 10" DrawAspect="Content" ObjectID="_1330351636" r:id="rId24"/>
        </w:object>
      </w:r>
    </w:p>
    <w:p w:rsidR="007A1EF5" w:rsidRDefault="007A1EF5">
      <w:pPr>
        <w:spacing w:line="360" w:lineRule="auto"/>
        <w:rPr>
          <w:rFonts w:ascii="Calibri" w:hAnsi="Calibri" w:cs="Arial"/>
        </w:rPr>
      </w:pPr>
      <w:r>
        <w:rPr>
          <w:noProof/>
        </w:rPr>
        <w:pict>
          <v:shape id="_x0000_s1032" type="#_x0000_t202" style="position:absolute;margin-left:347.15pt;margin-top:162.35pt;width:57.6pt;height:17.9pt;z-index:251640832" filled="f" stroked="f">
            <v:textbox style="mso-next-textbox:#_x0000_s1032">
              <w:txbxContent>
                <w:p w:rsidR="007A1EF5" w:rsidRPr="00931AD9" w:rsidRDefault="007A1EF5">
                  <w:pPr>
                    <w:rPr>
                      <w:sz w:val="16"/>
                      <w:szCs w:val="16"/>
                    </w:rPr>
                  </w:pPr>
                  <w:r w:rsidRPr="00931AD9">
                    <w:rPr>
                      <w:sz w:val="16"/>
                      <w:szCs w:val="16"/>
                    </w:rPr>
                    <w:t xml:space="preserve">Abbildung </w:t>
                  </w:r>
                  <w:r>
                    <w:rPr>
                      <w:sz w:val="16"/>
                      <w:szCs w:val="16"/>
                    </w:rPr>
                    <w:t>6</w:t>
                  </w:r>
                </w:p>
              </w:txbxContent>
            </v:textbox>
          </v:shape>
        </w:pict>
      </w:r>
      <w:r w:rsidRPr="00DD0F19">
        <w:rPr>
          <w:rFonts w:ascii="Calibri" w:hAnsi="Calibri" w:cs="Arial"/>
          <w:noProof/>
        </w:rPr>
        <w:object w:dxaOrig="8650" w:dyaOrig="3322">
          <v:shape id="Objekt 11" o:spid="_x0000_i1035" type="#_x0000_t75" style="width:421.5pt;height:186.75pt;visibility:visible" o:ole="">
            <v:imagedata r:id="rId25" o:title="" croptop="-2466f" cropbottom="-5563f" cropleft="-1599f" cropright="-1583f"/>
            <o:lock v:ext="edit" aspectratio="f"/>
          </v:shape>
          <o:OLEObject Type="Embed" ProgID="Excel.Chart.8" ShapeID="Objekt 11" DrawAspect="Content" ObjectID="_1330351637" r:id="rId26"/>
        </w:object>
      </w:r>
    </w:p>
    <w:p w:rsidR="007A1EF5" w:rsidRDefault="007A1EF5">
      <w:pPr>
        <w:spacing w:line="360" w:lineRule="auto"/>
        <w:jc w:val="both"/>
        <w:rPr>
          <w:rFonts w:ascii="Calibri" w:hAnsi="Calibri" w:cs="Arial"/>
        </w:rPr>
      </w:pPr>
      <w:r>
        <w:rPr>
          <w:rFonts w:ascii="Calibri" w:hAnsi="Calibri" w:cs="Arial"/>
        </w:rPr>
        <w:t>Die Geburtenziffer zeigt im Zehnjahresvergleich eine relativ starke Konstanz, während eine genaue Beobachtung von einzelnen Jahrgängen Schwankungen aufzeigt. So wurden 2005 189 Kinder weniger geboren als noch ein Jahr zuvor. Bei der künftigen Berichterstattung sind derartige statistische Schwankungen zu berücksichtigen, da ansonsten zu eilige Schlüsse und Beurteilungen vorprogrammiert sind.</w:t>
      </w:r>
    </w:p>
    <w:p w:rsidR="007A1EF5" w:rsidRDefault="007A1EF5">
      <w:pPr>
        <w:spacing w:line="360" w:lineRule="auto"/>
        <w:rPr>
          <w:rFonts w:ascii="Calibri" w:hAnsi="Calibri" w:cs="Arial"/>
        </w:rPr>
      </w:pPr>
    </w:p>
    <w:p w:rsidR="007A1EF5" w:rsidRDefault="007A1EF5">
      <w:pPr>
        <w:numPr>
          <w:ilvl w:val="0"/>
          <w:numId w:val="23"/>
          <w:numberingChange w:id="30" w:author="STV-50-VOGT" w:date="2010-03-17T17:16:00Z" w:original=""/>
        </w:numPr>
        <w:spacing w:line="360" w:lineRule="auto"/>
        <w:rPr>
          <w:rFonts w:ascii="Calibri" w:hAnsi="Calibri" w:cs="Arial"/>
        </w:rPr>
      </w:pPr>
      <w:r>
        <w:rPr>
          <w:rFonts w:ascii="Calibri" w:hAnsi="Calibri" w:cs="Arial"/>
        </w:rPr>
        <w:t>Haushaltsstrukturen</w:t>
      </w:r>
    </w:p>
    <w:p w:rsidR="007A1EF5" w:rsidRDefault="007A1EF5">
      <w:pPr>
        <w:spacing w:line="360" w:lineRule="auto"/>
        <w:jc w:val="both"/>
        <w:rPr>
          <w:rFonts w:ascii="Calibri" w:hAnsi="Calibri" w:cs="Arial"/>
        </w:rPr>
      </w:pPr>
      <w:r>
        <w:rPr>
          <w:rFonts w:ascii="Calibri" w:hAnsi="Calibri" w:cs="Arial"/>
        </w:rPr>
        <w:t>Während sich der demografische Wandel hinsichtlich der von Bevölkerungsforschern prognostizierten Wirkungen Schrumpfung und Alterung gar nicht bzw. nur sehr leicht bemerkbar macht, sind die mit den strukturellen Veränderungen der Gesellschaft erzeugten Folgen für die Privathaushalte deutlich spürbar. Die Pluralisierung der Lebensformen nimmt in Leverkusen wie in anderen vergleichbaren Großstädten rapide zu. Statistisch sind Aussagen zu den Haushaltsformen derzeit nur beschränkt möglich.</w:t>
      </w:r>
    </w:p>
    <w:p w:rsidR="007A1EF5" w:rsidRDefault="007A1EF5">
      <w:pPr>
        <w:spacing w:line="360" w:lineRule="auto"/>
        <w:rPr>
          <w:rFonts w:ascii="Calibri" w:hAnsi="Calibri" w:cs="Arial"/>
        </w:rPr>
      </w:pPr>
      <w:r>
        <w:rPr>
          <w:noProof/>
        </w:rPr>
        <w:pict>
          <v:shape id="_x0000_s1033" type="#_x0000_t202" style="position:absolute;margin-left:-3.85pt;margin-top:201.25pt;width:57.6pt;height:17.9pt;z-index:251641856" filled="f" stroked="f">
            <v:textbox style="mso-next-textbox:#_x0000_s1033">
              <w:txbxContent>
                <w:p w:rsidR="007A1EF5" w:rsidRPr="00931AD9" w:rsidRDefault="007A1EF5">
                  <w:pPr>
                    <w:rPr>
                      <w:sz w:val="16"/>
                      <w:szCs w:val="16"/>
                    </w:rPr>
                  </w:pPr>
                  <w:r w:rsidRPr="00931AD9">
                    <w:rPr>
                      <w:sz w:val="16"/>
                      <w:szCs w:val="16"/>
                    </w:rPr>
                    <w:t xml:space="preserve">Abbildung </w:t>
                  </w:r>
                  <w:r>
                    <w:rPr>
                      <w:sz w:val="16"/>
                      <w:szCs w:val="16"/>
                    </w:rPr>
                    <w:t>7</w:t>
                  </w:r>
                </w:p>
              </w:txbxContent>
            </v:textbox>
          </v:shape>
        </w:pict>
      </w:r>
      <w:r w:rsidRPr="00DD0F19">
        <w:rPr>
          <w:rFonts w:ascii="Calibri" w:hAnsi="Calibri" w:cs="Arial"/>
          <w:noProof/>
        </w:rPr>
        <w:object w:dxaOrig="8199" w:dyaOrig="4503">
          <v:shape id="Objekt 12" o:spid="_x0000_i1036" type="#_x0000_t75" style="width:410.25pt;height:225.75pt;visibility:visible" o:ole="">
            <v:imagedata r:id="rId27" o:title="" cropbottom="-160f"/>
            <o:lock v:ext="edit" aspectratio="f"/>
          </v:shape>
          <o:OLEObject Type="Embed" ProgID="Excel.Chart.8" ShapeID="Objekt 12" DrawAspect="Content" ObjectID="_1330351638" r:id="rId28"/>
        </w:object>
      </w:r>
    </w:p>
    <w:p w:rsidR="007A1EF5" w:rsidRDefault="007A1EF5">
      <w:pPr>
        <w:spacing w:line="360" w:lineRule="auto"/>
        <w:jc w:val="both"/>
        <w:rPr>
          <w:rFonts w:ascii="Calibri" w:hAnsi="Calibri" w:cs="Arial"/>
        </w:rPr>
      </w:pPr>
      <w:r>
        <w:rPr>
          <w:rFonts w:ascii="Calibri" w:hAnsi="Calibri" w:cs="Arial"/>
        </w:rPr>
        <w:t>Deutlich wird jedoch anhand des Vergleichs gegenüber 1997, dass traditionelle Familienstrukturen mit einem in aller Regel männlichen Einkommensbezieher zugunsten anderer Formen der Lebensgestaltung an Bedeutung verlieren. In Großstädten findet sich das verbreitete Phänomen, dass der Anteil verheirateter Paare ohne Kinder mit vielfach zwei Einkommensbeziehern den Anteil von traditionellen Familien übertrifft. Die deutlichste Zunahme unter den veränderten Lebensformen findet aber bei Alleinlebenden statt. Bereits vier von zehn Haushalten sind dieser Kategorie zuzuordnen. Vor zwanzig Jahren lag ihr Anteil noch bei etwa 33 Prozent. Derartige Entwicklungen bei den Privathaushalten bedingen sich wechselseitig mit anderen Faktoren, insbesondere mit den veränderten Voraussetzungen am Arbeitsmarkt. Als ein Indikator, derartige Entwicklungen im Wege der Haushaltsforschung oder Sozialberichterstattung zu messen, können beispielsweise Scheidungsraten herangezogen werden.</w:t>
      </w:r>
    </w:p>
    <w:p w:rsidR="007A1EF5" w:rsidRDefault="007A1EF5">
      <w:pPr>
        <w:spacing w:line="360" w:lineRule="auto"/>
        <w:jc w:val="both"/>
        <w:rPr>
          <w:rFonts w:ascii="Calibri" w:hAnsi="Calibri" w:cs="Arial"/>
        </w:rPr>
      </w:pPr>
      <w:r>
        <w:rPr>
          <w:rFonts w:ascii="Calibri" w:hAnsi="Calibri" w:cs="Arial"/>
        </w:rPr>
        <w:t>Die Anteile der Haushaltsformen an allen Haushalten in Leverkusen sind sehr unterschiedlich ausgeprägt. Mit 47, 2 Prozent sind Haushalte von Ehepaaren mit oder ohne Kinder die am häufigsten vertretene Haushaltsform in Leverkusen. Ebenfalls die Haushalte von allein lebenden Personen (Singles) mit 40,3 Prozent stark vertreten. Damit liegt der Anteil leicht über dem statistischen Mittelwert in Nordrhein-Westfalen. Der Anteil von Alleinerziehenden liegt in Leverkusen bei etwa 5 Prozent und damit deutlich unter dem Bundeswert von etwa 12 Prozent (Statistisches Bundesamt). Damit scheint die Haushaltsform der Ein-Eltern-Familien in Bezug auf ganz Leverkusen nicht sehr stark ins Gewicht zu fallen. Stadtteilbezogen sind jedoch einige Auffälligkeiten diesbezüglich zu erkennen. In Alkenrath weisen beispielsweise 6,4 Prozent aller Haushalte dieses Merkmal auf, während in der Waldsiedlung ihr Anteil bei nur 3,5 Prozent liegt. Diese Daten machen deutlich, dass 5 Prozent Alleinerziehende in Leverkusen zwar im Hinblick auf das vielfach vermutete Bild der sich auflösenden „klassischen Familiengefüge“ nicht sonderlich dramatisch wirken, sich dieses Bild jedoch bei Betrachtung einzelner Stadtteile verändern kann.</w:t>
      </w:r>
    </w:p>
    <w:p w:rsidR="007A1EF5" w:rsidRDefault="007A1EF5">
      <w:pPr>
        <w:spacing w:line="360" w:lineRule="auto"/>
        <w:jc w:val="both"/>
        <w:rPr>
          <w:rFonts w:ascii="Calibri" w:hAnsi="Calibri" w:cs="Arial"/>
        </w:rPr>
      </w:pPr>
      <w:r>
        <w:rPr>
          <w:rFonts w:ascii="Calibri" w:hAnsi="Calibri" w:cs="Arial"/>
        </w:rPr>
        <w:t>Bei insgesamt 77.744 Haushalten per 31.12.2007 betrug die durchschnittliche Haushaltsgröße 2,01 Personen/Haushalt. Entwicklungen lassen sich hier erst im Wege einer Längsschnittanalyse über längere Zeiträume hinweg herausarbeiten. Der direkte Vergleich der Haushalte in den Jahren 1987 und 2007 unterstreicht die Vermutung einer deutlichen Verschiebung zu Lasten von „klassischen Familien“. Gegenüber 1987 verloren insbesondere alle Mehrpersonenhaushalte deutlich an Bedeutung gegenüber dem Anteil der Singles.</w:t>
      </w:r>
    </w:p>
    <w:tbl>
      <w:tblPr>
        <w:tblW w:w="8480" w:type="dxa"/>
        <w:tblBorders>
          <w:top w:val="single" w:sz="8" w:space="0" w:color="9BBB59"/>
          <w:bottom w:val="single" w:sz="8" w:space="0" w:color="9BBB59"/>
        </w:tblBorders>
        <w:tblLook w:val="0000"/>
      </w:tblPr>
      <w:tblGrid>
        <w:gridCol w:w="4510"/>
        <w:gridCol w:w="1985"/>
        <w:gridCol w:w="1985"/>
      </w:tblGrid>
      <w:tr w:rsidR="007A1EF5">
        <w:trPr>
          <w:trHeight w:val="397"/>
        </w:trPr>
        <w:tc>
          <w:tcPr>
            <w:tcW w:w="4500" w:type="dxa"/>
            <w:tcBorders>
              <w:top w:val="single" w:sz="8" w:space="0" w:color="9BBB59"/>
            </w:tcBorders>
          </w:tcPr>
          <w:p w:rsidR="007A1EF5" w:rsidRDefault="007A1EF5">
            <w:pPr>
              <w:spacing w:line="360" w:lineRule="auto"/>
              <w:rPr>
                <w:rFonts w:ascii="Calibri" w:hAnsi="Calibri" w:cs="Arial"/>
              </w:rPr>
            </w:pPr>
            <w:r>
              <w:rPr>
                <w:rFonts w:ascii="Calibri" w:hAnsi="Calibri" w:cs="Arial"/>
                <w:bCs/>
                <w:sz w:val="22"/>
                <w:szCs w:val="22"/>
              </w:rPr>
              <w:t>Personen in Privathaushalten</w:t>
            </w:r>
            <w:r>
              <w:rPr>
                <w:rFonts w:ascii="Calibri" w:hAnsi="Calibri" w:cs="Arial"/>
                <w:sz w:val="22"/>
                <w:szCs w:val="22"/>
              </w:rPr>
              <w:t xml:space="preserve"> </w:t>
            </w:r>
          </w:p>
        </w:tc>
        <w:tc>
          <w:tcPr>
            <w:tcW w:w="1980" w:type="dxa"/>
            <w:tcBorders>
              <w:top w:val="single" w:sz="8" w:space="0" w:color="9BBB59"/>
            </w:tcBorders>
          </w:tcPr>
          <w:p w:rsidR="007A1EF5" w:rsidRDefault="007A1EF5">
            <w:pPr>
              <w:spacing w:line="360" w:lineRule="auto"/>
              <w:rPr>
                <w:rFonts w:ascii="Calibri" w:hAnsi="Calibri" w:cs="Arial"/>
              </w:rPr>
            </w:pPr>
            <w:r>
              <w:rPr>
                <w:rFonts w:ascii="Calibri" w:hAnsi="Calibri" w:cs="Arial"/>
                <w:bCs/>
                <w:sz w:val="22"/>
                <w:szCs w:val="22"/>
              </w:rPr>
              <w:t xml:space="preserve">1987 </w:t>
            </w:r>
          </w:p>
        </w:tc>
        <w:tc>
          <w:tcPr>
            <w:tcW w:w="1980" w:type="dxa"/>
            <w:tcBorders>
              <w:top w:val="single" w:sz="8" w:space="0" w:color="9BBB59"/>
            </w:tcBorders>
          </w:tcPr>
          <w:p w:rsidR="007A1EF5" w:rsidRDefault="007A1EF5">
            <w:pPr>
              <w:spacing w:line="360" w:lineRule="auto"/>
              <w:rPr>
                <w:rFonts w:ascii="Calibri" w:hAnsi="Calibri" w:cs="Arial"/>
              </w:rPr>
            </w:pPr>
            <w:r>
              <w:rPr>
                <w:rFonts w:ascii="Calibri" w:hAnsi="Calibri" w:cs="Arial"/>
                <w:bCs/>
                <w:sz w:val="22"/>
                <w:szCs w:val="22"/>
              </w:rPr>
              <w:t xml:space="preserve">2007 </w:t>
            </w:r>
          </w:p>
        </w:tc>
      </w:tr>
      <w:tr w:rsidR="007A1EF5">
        <w:trPr>
          <w:trHeight w:val="284"/>
        </w:trPr>
        <w:tc>
          <w:tcPr>
            <w:tcW w:w="4500" w:type="dxa"/>
          </w:tcPr>
          <w:p w:rsidR="007A1EF5" w:rsidRDefault="007A1EF5">
            <w:pPr>
              <w:spacing w:line="360" w:lineRule="auto"/>
              <w:rPr>
                <w:rFonts w:ascii="Calibri" w:hAnsi="Calibri" w:cs="Arial"/>
              </w:rPr>
            </w:pPr>
            <w:r>
              <w:rPr>
                <w:rFonts w:ascii="Calibri" w:hAnsi="Calibri" w:cs="Arial"/>
                <w:sz w:val="22"/>
                <w:szCs w:val="22"/>
              </w:rPr>
              <w:t xml:space="preserve">Einpersonenhaushalt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33 Prozent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40,3 Prozent </w:t>
            </w:r>
          </w:p>
        </w:tc>
      </w:tr>
      <w:tr w:rsidR="007A1EF5">
        <w:trPr>
          <w:trHeight w:val="284"/>
        </w:trPr>
        <w:tc>
          <w:tcPr>
            <w:tcW w:w="4500" w:type="dxa"/>
          </w:tcPr>
          <w:p w:rsidR="007A1EF5" w:rsidRDefault="007A1EF5">
            <w:pPr>
              <w:spacing w:line="360" w:lineRule="auto"/>
              <w:rPr>
                <w:rFonts w:ascii="Calibri" w:hAnsi="Calibri" w:cs="Arial"/>
              </w:rPr>
            </w:pPr>
            <w:r>
              <w:rPr>
                <w:rFonts w:ascii="Calibri" w:hAnsi="Calibri" w:cs="Arial"/>
                <w:sz w:val="22"/>
                <w:szCs w:val="22"/>
              </w:rPr>
              <w:t xml:space="preserve">Zweipersonenhaushalt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31 Prozent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32,3 Prozent </w:t>
            </w:r>
          </w:p>
        </w:tc>
      </w:tr>
      <w:tr w:rsidR="007A1EF5">
        <w:trPr>
          <w:trHeight w:val="284"/>
        </w:trPr>
        <w:tc>
          <w:tcPr>
            <w:tcW w:w="4500" w:type="dxa"/>
          </w:tcPr>
          <w:p w:rsidR="007A1EF5" w:rsidRDefault="007A1EF5">
            <w:pPr>
              <w:spacing w:line="360" w:lineRule="auto"/>
              <w:rPr>
                <w:rFonts w:ascii="Calibri" w:hAnsi="Calibri" w:cs="Arial"/>
              </w:rPr>
            </w:pPr>
            <w:r>
              <w:rPr>
                <w:rFonts w:ascii="Calibri" w:hAnsi="Calibri" w:cs="Arial"/>
                <w:sz w:val="22"/>
                <w:szCs w:val="22"/>
              </w:rPr>
              <w:t xml:space="preserve">Dreipersonenhaushalt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18,7 Prozent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13,7 Prozent </w:t>
            </w:r>
          </w:p>
        </w:tc>
      </w:tr>
      <w:tr w:rsidR="007A1EF5">
        <w:trPr>
          <w:trHeight w:val="284"/>
        </w:trPr>
        <w:tc>
          <w:tcPr>
            <w:tcW w:w="4500" w:type="dxa"/>
          </w:tcPr>
          <w:p w:rsidR="007A1EF5" w:rsidRDefault="007A1EF5">
            <w:pPr>
              <w:spacing w:line="360" w:lineRule="auto"/>
              <w:rPr>
                <w:rFonts w:ascii="Calibri" w:hAnsi="Calibri" w:cs="Arial"/>
              </w:rPr>
            </w:pPr>
            <w:r>
              <w:rPr>
                <w:rFonts w:ascii="Calibri" w:hAnsi="Calibri" w:cs="Arial"/>
                <w:sz w:val="22"/>
                <w:szCs w:val="22"/>
              </w:rPr>
              <w:t xml:space="preserve">Vierpersonenhaushalt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12,6 Prozent </w:t>
            </w:r>
          </w:p>
        </w:tc>
        <w:tc>
          <w:tcPr>
            <w:tcW w:w="1980" w:type="dxa"/>
          </w:tcPr>
          <w:p w:rsidR="007A1EF5" w:rsidRDefault="007A1EF5">
            <w:pPr>
              <w:spacing w:line="360" w:lineRule="auto"/>
              <w:rPr>
                <w:rFonts w:ascii="Calibri" w:hAnsi="Calibri" w:cs="Arial"/>
              </w:rPr>
            </w:pPr>
            <w:r>
              <w:rPr>
                <w:rFonts w:ascii="Calibri" w:hAnsi="Calibri" w:cs="Arial"/>
                <w:sz w:val="22"/>
                <w:szCs w:val="22"/>
              </w:rPr>
              <w:t xml:space="preserve">9,8 Prozent </w:t>
            </w:r>
          </w:p>
        </w:tc>
      </w:tr>
      <w:tr w:rsidR="007A1EF5">
        <w:trPr>
          <w:trHeight w:val="284"/>
        </w:trPr>
        <w:tc>
          <w:tcPr>
            <w:tcW w:w="4500" w:type="dxa"/>
            <w:tcBorders>
              <w:bottom w:val="single" w:sz="8" w:space="0" w:color="9BBB59"/>
            </w:tcBorders>
          </w:tcPr>
          <w:p w:rsidR="007A1EF5" w:rsidRDefault="007A1EF5">
            <w:pPr>
              <w:spacing w:line="360" w:lineRule="auto"/>
              <w:rPr>
                <w:rFonts w:ascii="Calibri" w:hAnsi="Calibri" w:cs="Arial"/>
              </w:rPr>
            </w:pPr>
            <w:r>
              <w:rPr>
                <w:noProof/>
              </w:rPr>
              <w:pict>
                <v:shape id="_x0000_s1034" type="#_x0000_t202" style="position:absolute;margin-left:172.55pt;margin-top:20.2pt;width:57.6pt;height:17.9pt;z-index:251642880;mso-position-horizontal-relative:text;mso-position-vertical-relative:text" filled="f" stroked="f">
                  <v:textbox style="mso-next-textbox:#_x0000_s1034">
                    <w:txbxContent>
                      <w:p w:rsidR="007A1EF5" w:rsidRPr="00931AD9" w:rsidRDefault="007A1EF5">
                        <w:pPr>
                          <w:rPr>
                            <w:sz w:val="16"/>
                            <w:szCs w:val="16"/>
                          </w:rPr>
                        </w:pPr>
                        <w:r w:rsidRPr="00931AD9">
                          <w:rPr>
                            <w:sz w:val="16"/>
                            <w:szCs w:val="16"/>
                          </w:rPr>
                          <w:t xml:space="preserve">Abbildung </w:t>
                        </w:r>
                        <w:r>
                          <w:rPr>
                            <w:sz w:val="16"/>
                            <w:szCs w:val="16"/>
                          </w:rPr>
                          <w:t>8</w:t>
                        </w:r>
                      </w:p>
                    </w:txbxContent>
                  </v:textbox>
                </v:shape>
              </w:pict>
            </w:r>
            <w:r>
              <w:rPr>
                <w:rFonts w:ascii="Calibri" w:hAnsi="Calibri" w:cs="Arial"/>
                <w:sz w:val="22"/>
                <w:szCs w:val="22"/>
              </w:rPr>
              <w:t xml:space="preserve">Fünf- und Mehrpersonenhaushalte </w:t>
            </w:r>
          </w:p>
        </w:tc>
        <w:tc>
          <w:tcPr>
            <w:tcW w:w="1980" w:type="dxa"/>
            <w:tcBorders>
              <w:bottom w:val="single" w:sz="8" w:space="0" w:color="9BBB59"/>
            </w:tcBorders>
          </w:tcPr>
          <w:p w:rsidR="007A1EF5" w:rsidRDefault="007A1EF5">
            <w:pPr>
              <w:spacing w:line="360" w:lineRule="auto"/>
              <w:rPr>
                <w:rFonts w:ascii="Calibri" w:hAnsi="Calibri" w:cs="Arial"/>
              </w:rPr>
            </w:pPr>
            <w:r>
              <w:rPr>
                <w:rFonts w:ascii="Calibri" w:hAnsi="Calibri" w:cs="Arial"/>
                <w:sz w:val="22"/>
                <w:szCs w:val="22"/>
              </w:rPr>
              <w:t xml:space="preserve">4,7 Prozent </w:t>
            </w:r>
          </w:p>
        </w:tc>
        <w:tc>
          <w:tcPr>
            <w:tcW w:w="1980" w:type="dxa"/>
            <w:tcBorders>
              <w:bottom w:val="single" w:sz="8" w:space="0" w:color="9BBB59"/>
            </w:tcBorders>
          </w:tcPr>
          <w:p w:rsidR="007A1EF5" w:rsidRDefault="007A1EF5">
            <w:pPr>
              <w:spacing w:line="360" w:lineRule="auto"/>
              <w:rPr>
                <w:rFonts w:ascii="Calibri" w:hAnsi="Calibri" w:cs="Arial"/>
              </w:rPr>
            </w:pPr>
            <w:r>
              <w:rPr>
                <w:rFonts w:ascii="Calibri" w:hAnsi="Calibri" w:cs="Arial"/>
                <w:sz w:val="22"/>
                <w:szCs w:val="22"/>
              </w:rPr>
              <w:t xml:space="preserve">3,8 Prozent </w:t>
            </w:r>
          </w:p>
        </w:tc>
      </w:tr>
    </w:tbl>
    <w:p w:rsidR="007A1EF5" w:rsidRDefault="007A1EF5">
      <w:pPr>
        <w:spacing w:line="360" w:lineRule="auto"/>
        <w:rPr>
          <w:rFonts w:ascii="Calibri" w:hAnsi="Calibri" w:cs="Arial"/>
        </w:rPr>
      </w:pPr>
    </w:p>
    <w:p w:rsidR="007A1EF5" w:rsidRDefault="007A1EF5">
      <w:pPr>
        <w:spacing w:line="360" w:lineRule="auto"/>
        <w:jc w:val="both"/>
        <w:rPr>
          <w:rFonts w:ascii="Calibri" w:hAnsi="Calibri" w:cs="Arial"/>
        </w:rPr>
      </w:pPr>
      <w:r>
        <w:rPr>
          <w:rFonts w:ascii="Calibri" w:hAnsi="Calibri" w:cs="Arial"/>
        </w:rPr>
        <w:t>Für die Sozialberichterstattung sind diese Werte der Haushaltsforschung besonders aus zwei Gründen von besonderer Bedeutung:</w:t>
      </w:r>
    </w:p>
    <w:p w:rsidR="007A1EF5" w:rsidRDefault="007A1EF5">
      <w:pPr>
        <w:spacing w:line="360" w:lineRule="auto"/>
        <w:jc w:val="both"/>
        <w:rPr>
          <w:rFonts w:ascii="Calibri" w:hAnsi="Calibri" w:cs="Arial"/>
        </w:rPr>
      </w:pPr>
    </w:p>
    <w:p w:rsidR="007A1EF5" w:rsidRDefault="007A1EF5">
      <w:pPr>
        <w:pStyle w:val="ListParagraph"/>
        <w:numPr>
          <w:ilvl w:val="0"/>
          <w:numId w:val="42"/>
          <w:numberingChange w:id="31" w:author="STV-50-VOGT" w:date="2010-03-17T17:16:00Z" w:original="-"/>
        </w:numPr>
        <w:spacing w:line="360" w:lineRule="auto"/>
        <w:jc w:val="both"/>
        <w:rPr>
          <w:rFonts w:ascii="Calibri" w:hAnsi="Calibri" w:cs="Arial"/>
        </w:rPr>
      </w:pPr>
      <w:r>
        <w:rPr>
          <w:rFonts w:ascii="Calibri" w:hAnsi="Calibri" w:cs="Arial"/>
        </w:rPr>
        <w:t>Aus der Perspektive von Armutsprävention und Armutsbekämpfung ist wissenschaftlich erwiesen, dass Privathaushalte von Alleinerziehenden wie auch solche mit drei und mehr Kindern statistisch ein besonderes Armutsrisiko hervorrufen. An dieser Stelle ist ein Querverweis auf das Handlungsfeld Einkommen und Einkommensersatzleistungen geboten: Während der Gesamtanteil Alleinerziehender in Leverkusen bei 5 Prozent aller Haushalte liegt, so beträgt ihr Anteil unter allen Haushalten, die „Hartz IV“-Leistungen erhalten, 19,3 Prozent. Der Zusammenhang zwischen dem Haushaltstyp einerseits und dem Risiko von Einkommensarmut betroffen zu sein andererseits ist damit eklatant auch für Leverkusen dargestellt.</w:t>
      </w:r>
    </w:p>
    <w:p w:rsidR="007A1EF5" w:rsidRDefault="007A1EF5">
      <w:pPr>
        <w:pStyle w:val="ListParagraph"/>
        <w:numPr>
          <w:ilvl w:val="0"/>
          <w:numId w:val="42"/>
          <w:numberingChange w:id="32" w:author="STV-50-VOGT" w:date="2010-03-17T17:16:00Z" w:original="-"/>
        </w:numPr>
        <w:spacing w:line="360" w:lineRule="auto"/>
        <w:jc w:val="both"/>
        <w:rPr>
          <w:rFonts w:ascii="Calibri" w:hAnsi="Calibri" w:cs="Arial"/>
        </w:rPr>
      </w:pPr>
      <w:r>
        <w:rPr>
          <w:rFonts w:ascii="Calibri" w:hAnsi="Calibri" w:cs="Arial"/>
        </w:rPr>
        <w:t>Aus der Perspektive einer Sozialplanung, die Bedarfs- und Angebotsentwicklungen sowohl unter finanzwirtschaftlichen als auch sozialpolitischen Erwägungen heraus vornimmt, sind Haushaltsstrukturen eine wesentliche Kennzahl, um sogenannte primäre (also private) Unterstützungspotenziale zu kennen. Privathaushalte sind die Basisstruktur der Gesellschaft. Je größer das Selbsthilfepotenzial ist, desto niedriger fällt die staatliche Aufgaben- und Ausgabenlast aus.</w:t>
      </w:r>
    </w:p>
    <w:p w:rsidR="007A1EF5" w:rsidRDefault="007A1EF5">
      <w:pPr>
        <w:spacing w:line="360" w:lineRule="auto"/>
        <w:rPr>
          <w:rFonts w:ascii="Calibri" w:hAnsi="Calibri" w:cs="Arial"/>
        </w:rPr>
      </w:pPr>
    </w:p>
    <w:p w:rsidR="007A1EF5" w:rsidRDefault="007A1EF5">
      <w:pPr>
        <w:spacing w:line="360" w:lineRule="auto"/>
        <w:outlineLvl w:val="1"/>
        <w:rPr>
          <w:rFonts w:ascii="Calibri" w:hAnsi="Calibri" w:cs="Arial"/>
        </w:rPr>
      </w:pPr>
      <w:bookmarkStart w:id="33" w:name="_Toc205633872"/>
    </w:p>
    <w:p w:rsidR="007A1EF5" w:rsidRDefault="007A1EF5">
      <w:pPr>
        <w:spacing w:line="360" w:lineRule="auto"/>
        <w:outlineLvl w:val="1"/>
        <w:rPr>
          <w:rFonts w:ascii="Calibri" w:hAnsi="Calibri" w:cs="Arial"/>
        </w:rPr>
      </w:pPr>
    </w:p>
    <w:p w:rsidR="007A1EF5" w:rsidRPr="00FF09C0" w:rsidRDefault="007A1EF5">
      <w:pPr>
        <w:pBdr>
          <w:bottom w:val="single" w:sz="4" w:space="1" w:color="auto"/>
        </w:pBdr>
        <w:spacing w:line="360" w:lineRule="auto"/>
        <w:outlineLvl w:val="1"/>
        <w:rPr>
          <w:rFonts w:ascii="Calibri" w:hAnsi="Calibri" w:cs="Arial"/>
          <w:b/>
        </w:rPr>
      </w:pPr>
      <w:r>
        <w:rPr>
          <w:rFonts w:ascii="Calibri" w:hAnsi="Calibri" w:cs="Arial"/>
        </w:rPr>
        <w:br w:type="page"/>
      </w:r>
      <w:r w:rsidRPr="00FF09C0">
        <w:rPr>
          <w:rFonts w:ascii="Calibri" w:hAnsi="Calibri" w:cs="Arial"/>
          <w:b/>
        </w:rPr>
        <w:t>(2) Handlungsfeld Einkommen</w:t>
      </w:r>
      <w:bookmarkEnd w:id="33"/>
      <w:r w:rsidRPr="00FF09C0">
        <w:rPr>
          <w:rFonts w:ascii="Calibri" w:hAnsi="Calibri" w:cs="Arial"/>
          <w:b/>
        </w:rPr>
        <w:t xml:space="preserve"> und Einkommensersatzleistungen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Nach wie vor gilt das Einkommen als die zentrale Kategorie, um den Lebensstandard von Personen oder Personengruppen (privaten Haushalten) zu beschreiben. Anhand eines unterschiedlichen Einkommensniveaus lassen sich soziale Ungleichheiten innerhalb der Gesellschaft gut erklären. So ist mit einem niedrigen Einkommen in aller Regel eine wirtschaftliche Unterversorgung verbunden. Menschen können sich nicht das leisten, was sie sich leisten wollen. Je nachdem, wie lange eine Phase der Unterversorgung im Lebenslauf andauert, hat dies Auswirkungen auf andere Bereiche des täglichen Lebens.</w:t>
      </w:r>
    </w:p>
    <w:p w:rsidR="007A1EF5" w:rsidRDefault="007A1EF5">
      <w:pPr>
        <w:spacing w:line="360" w:lineRule="auto"/>
        <w:jc w:val="both"/>
        <w:rPr>
          <w:rFonts w:ascii="Calibri" w:hAnsi="Calibri" w:cs="Arial"/>
        </w:rPr>
      </w:pPr>
      <w:r>
        <w:rPr>
          <w:rFonts w:ascii="Calibri" w:hAnsi="Calibri" w:cs="Arial"/>
        </w:rPr>
        <w:t>Am Einkommen von benachteiligten Bevölkerungsgruppen orientiert und anhand der gesellschaftlichen Einkommensverteilung lässt sich materielle Armut erfassen. Armut meint nicht absolute Mittellosigkeit. Diese ist nicht der Maßstab, um jemanden als arm zu bezeichnen und tritt im deutschen Sozialstaat auch immer noch in sehr seltenen Fällen, in der Regel dann nur vorübergehend, auf. Einkommensarmut meint relative Benachteiligung, also den Abstand des tatsächlich durch eine Person erzielten Einkommens zum allgemeinhin anerkannten gesellschaftlichen Wohlstand. Wissenschaftlich nachweisbar steht Einkommensarmut nicht losgelöst von anderen Formen der Benachteiligung. So ergeben sich Zusammenhänge mit dem Bildungsverhalten, Qualifikationsniveau, der Erwerbsbeteiligung, der sozialen Beziehungen und so weiter. Personen, die mit einem niedrigen Einkommen ihren Lebensunterhalt bestreiten müssen, sind häufig auch in anderer Hinsicht gegenüber anderen Bevölkerungsgruppen sozial benachteiligt.</w:t>
      </w:r>
    </w:p>
    <w:p w:rsidR="007A1EF5" w:rsidRDefault="007A1EF5">
      <w:pPr>
        <w:spacing w:line="360" w:lineRule="auto"/>
        <w:jc w:val="both"/>
        <w:rPr>
          <w:rFonts w:ascii="Calibri" w:hAnsi="Calibri" w:cs="Arial"/>
        </w:rPr>
      </w:pPr>
      <w:r>
        <w:rPr>
          <w:rFonts w:ascii="Calibri" w:hAnsi="Calibri" w:cs="Arial"/>
        </w:rPr>
        <w:t xml:space="preserve">Auf welche Weise lässt sich treffsicher beschreiben, wie in Leverkusen die Chancen einer gerechten Teilhabe aller am gesellschaftlichen Wohlstand stehen? Für die Leverkusener Sozialberichterstattung wird eine Kombination von verschiedenen Informationsquellen herangezogen, um soziale Benachteiligungen im wichtigen Handlungsfeld Einkommen angemessen zu erfassen. Dies ist erforderlich, da die Schwelle der Einkommensarmut oder auch die Armutsrisikoquote (vgl. NRW-Sozialbericht, S. 114 ff.) für die Stadt Leverkusen aus methodischen Gründen gegenwärtig nicht gemessen, sondern nur geschätzt werden können. Im Übrigen wird eine politische Bewertung darüber vorausgesetzt, welche Einkommens- und Unterversorgungsschwellen Maßstäbe setzen, nach denen ein Lebensstandard unvertretbar unterschritten wird und soziale Ungleichheit nicht mehr hingenommen werden kann. Denn nur anhand dieser Entscheidung lassen sich treffsichere Aussagen über das tatsächliche Ausmaß von Armut treffen, zu der Frage: </w:t>
      </w:r>
      <w:r>
        <w:rPr>
          <w:rFonts w:ascii="Calibri" w:hAnsi="Calibri" w:cs="Arial"/>
          <w:i/>
        </w:rPr>
        <w:t>Wer</w:t>
      </w:r>
      <w:r>
        <w:rPr>
          <w:rFonts w:ascii="Calibri" w:hAnsi="Calibri" w:cs="Arial"/>
        </w:rPr>
        <w:t xml:space="preserve"> gilt denn überhaupt als arm? Derartige Diskussionen erscheinen mit Blick auf die bereits verfügbaren Informationen einerseits, und das Interesse an einer gemeinsamen Problembewältigung andererseits nicht angezeigt zu sein.</w:t>
      </w:r>
    </w:p>
    <w:p w:rsidR="007A1EF5" w:rsidRDefault="007A1EF5">
      <w:pPr>
        <w:spacing w:line="360" w:lineRule="auto"/>
        <w:jc w:val="both"/>
        <w:rPr>
          <w:rFonts w:ascii="Calibri" w:hAnsi="Calibri" w:cs="Arial"/>
        </w:rPr>
      </w:pPr>
      <w:r>
        <w:rPr>
          <w:rFonts w:ascii="Calibri" w:hAnsi="Calibri" w:cs="Arial"/>
        </w:rPr>
        <w:t>Die Hilfskonstruktion über die Quote der Inanspruchnahme von öffentlichen Unterstützungsleistungen (sogenannte Transferleistungen) allein lässt ebenso keinen Rückschluss auf das Ausmaß der materiellen Armut in Leverkusen zu. Denn dadurch lassen sich weder Personen mit geringen Einkommen erfassen, noch solche, die auf die Inanspruchnahme von Transferleistungen, aus welchen persönlichen Gründen auch immer, verzichten. Daher sind sowohl die Verteilung der steuerpflichtigen Einkommen als auch ausgewählte Transferleistungsquoten herangezogen worden, um Aussagen zur Einkommenssituation der Leverkusener Gesamtbevölkerung zu machen. Künftig ist es für die Stadt Leverkusen von zentraler Bedeutung, mehr über die konkreten räumlichen Auswirkungen niedriger Einkommen zu erfahren und über den Beitrag, den eine Kommune zusammen mit ihren gesellschaftlichen Partnern zu leisten imstande ist, um negative Folgen von Einkommensspaltung wirksamer als bisher abzumildern. Dies betrifft einerseits die berufliche Integration selbst (s. Handlungsfeld Arbeit und Wirtschaft). Andererseits aber ist eine soziale Eingliederung über wirksame flankierende Angebote wie zum Beispiel der Schuldner-, Sucht- oder psychosozialen Beratung angezeigt, die von Betroffenen auch tatsächlich genutzt bzw. erreicht werden können. Diese Unterstützungsangebote erst mildern bzw. beseitigen vorhandene Problemlagen, die zu einer mangelnden Fähigkeit zur Einkommenserzielung beitragen.</w:t>
      </w:r>
    </w:p>
    <w:p w:rsidR="007A1EF5" w:rsidRDefault="007A1EF5">
      <w:pPr>
        <w:spacing w:line="360" w:lineRule="auto"/>
        <w:jc w:val="both"/>
        <w:rPr>
          <w:rFonts w:ascii="Calibri" w:hAnsi="Calibri" w:cs="Arial"/>
        </w:rPr>
      </w:pPr>
    </w:p>
    <w:p w:rsidR="007A1EF5" w:rsidRDefault="007A1EF5">
      <w:pPr>
        <w:numPr>
          <w:ilvl w:val="0"/>
          <w:numId w:val="14"/>
          <w:numberingChange w:id="34" w:author="STV-50-VOGT" w:date="2010-03-17T17:16:00Z" w:original=""/>
        </w:numPr>
        <w:spacing w:line="360" w:lineRule="auto"/>
        <w:outlineLvl w:val="1"/>
        <w:rPr>
          <w:rFonts w:ascii="Calibri" w:hAnsi="Calibri" w:cs="Arial"/>
        </w:rPr>
      </w:pPr>
      <w:r>
        <w:rPr>
          <w:rFonts w:ascii="Calibri" w:hAnsi="Calibri" w:cs="Arial"/>
        </w:rPr>
        <w:t>Einkommensverteilung</w:t>
      </w:r>
    </w:p>
    <w:p w:rsidR="007A1EF5" w:rsidRDefault="007A1EF5">
      <w:pPr>
        <w:spacing w:line="360" w:lineRule="auto"/>
        <w:jc w:val="both"/>
        <w:outlineLvl w:val="1"/>
        <w:rPr>
          <w:rFonts w:ascii="Calibri" w:hAnsi="Calibri" w:cs="Arial"/>
        </w:rPr>
      </w:pPr>
      <w:r>
        <w:rPr>
          <w:rFonts w:ascii="Calibri" w:hAnsi="Calibri" w:cs="Arial"/>
        </w:rPr>
        <w:t>Die durchschnittlichen Gesamteinkünfte je Steuerpflichtigen in Leverkusen lagen im Jahr 2004 bei 28.560 Euro. Zugrunde gelegt wird bei dieser Aussage der Gesamtbetrag aller Einkünfte gemäß § 2 Absatz 3 Einkommenssteuergesetz. Bei den Steuerpflichtigen handelt es sich um sogenannte beschränkt einkommenssteuerpflichtige natürliche Personen. Hierunter werden alle einkommenssteuerrechtlich nicht oder veranlagten Arbeitnehmerinnen und Arbeitnehmer Leverkusens erfasst sowie einkommenssteuerpflichtige Personen, die keine Lohneinkünfte erzielen. Insgesamt gab es in Leverkusen zum genannten Zeitpunkt 78.040 steuerpflichtige Personen. Der Gesamtbetrag der von ihnen erzielten Einkünfte lag bei 2.258.858.000 Euro. Leverkusen liegt unter allen 396 Erhebungskommunen im hinteren Drittel auf Rang 326. Zum Vergleich lag im Landesmittel das durchschnittliche steuerpflichtige Gesamteinkommen bei 31.192 Euro, in Köln sogar bei 32.013 Euro und in Solingen bei 31.894 Euro, in Duisburg immerhin bei 24.271 Euro (vgl. Landesamt für Datenverarbeitung und Statistik Nordrhein-Westfalen, Einkommen der Lohn- und Einkommenssteuerpflichtigen in NRW 2004).</w:t>
      </w:r>
    </w:p>
    <w:p w:rsidR="007A1EF5" w:rsidRDefault="007A1EF5">
      <w:pPr>
        <w:spacing w:line="360" w:lineRule="auto"/>
        <w:jc w:val="both"/>
        <w:outlineLvl w:val="1"/>
        <w:rPr>
          <w:rFonts w:ascii="Calibri" w:hAnsi="Calibri" w:cs="Arial"/>
        </w:rPr>
      </w:pPr>
      <w:r>
        <w:rPr>
          <w:rFonts w:ascii="Calibri" w:hAnsi="Calibri" w:cs="Arial"/>
        </w:rPr>
        <w:t>Die Ergebnisse der Lohn- und Einkommenssteuerstatistik werden alle drei Jahre neu erhoben. Für 2007 liegen noch keine abschließenden Auswertungen vor. Auf diese Daten wird daher mit Spannung zu warten sein. Mit den Ergebnissen früherer Jahrgänge sind die vorliegenden Daten nur eingeschränkt vergleichbar, da bis 2001 ein anderes Zählverfahren zur Ermittlung der Anzahl der Steuerpflichtigen durchgeführt wurde. Nicht veranlagte Steuerpflichtige wurden in der Statistik nicht erfasst. Von den 78.040 steuerpflichtigen Personen erzielten 65.948 ausschließlich oder ganz überwiegend Einkünfte aus nicht selbständiger Arbeit.</w: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t>Der durchschnittliche Bruttoverdienst je Arbeitsstunde betrug 2007 in Leverkusen bei Frauen 31 € und bei Männern 32 €. Dies ist ein überdurchschnittliches Ergebnis, denn die Vergleichszahlen (Bund) liegen bei 23 € je Arbeitsstunde bei Frauen und 30 € bei Männern. Die Daten sind dem Gender-Index</w:t>
      </w:r>
      <w:r>
        <w:rPr>
          <w:rStyle w:val="FootnoteReference"/>
        </w:rPr>
        <w:footnoteReference w:id="2"/>
      </w:r>
      <w:r>
        <w:t xml:space="preserve"> bzw. der laufenden Raumbeobachtung des Bundesinstituts für Bau-, Stadt- und Raumforschung (BBSR) entnommen</w: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Die Verteilung des Einkommens auf die Bevölkerung ist sowohl von wirtschafts- als auch sozialpolitischer Bedeutung und bis heute ein Maß für Gerechtigkeitsvorstellungen. In Leverkusen teilen sich die Steuerpflichtigen sehr unterschiedlich auf die einzelnen Einkommensklassen auf (vgl. Stadt Leverkusen 2009, S. 11).</w:t>
      </w:r>
    </w:p>
    <w:p w:rsidR="007A1EF5" w:rsidRDefault="007A1EF5">
      <w:pPr>
        <w:spacing w:line="360" w:lineRule="auto"/>
        <w:jc w:val="both"/>
        <w:outlineLvl w:val="1"/>
        <w:rPr>
          <w:rFonts w:ascii="Calibri" w:hAnsi="Calibri" w:cs="Arial"/>
          <w:noProof/>
        </w:rPr>
      </w:pPr>
      <w:r>
        <w:rPr>
          <w:noProof/>
        </w:rPr>
        <w:pict>
          <v:shape id="_x0000_s1035" type="#_x0000_t202" style="position:absolute;left:0;text-align:left;margin-left:194.15pt;margin-top:291.25pt;width:57.6pt;height:17.9pt;z-index:251643904" filled="f" stroked="f">
            <v:textbox style="mso-next-textbox:#_x0000_s1035">
              <w:txbxContent>
                <w:p w:rsidR="007A1EF5" w:rsidRPr="00931AD9" w:rsidRDefault="007A1EF5">
                  <w:pPr>
                    <w:rPr>
                      <w:sz w:val="16"/>
                      <w:szCs w:val="16"/>
                    </w:rPr>
                  </w:pPr>
                  <w:r w:rsidRPr="00931AD9">
                    <w:rPr>
                      <w:sz w:val="16"/>
                      <w:szCs w:val="16"/>
                    </w:rPr>
                    <w:t xml:space="preserve">Abbildung </w:t>
                  </w:r>
                  <w:r>
                    <w:rPr>
                      <w:sz w:val="16"/>
                      <w:szCs w:val="16"/>
                    </w:rPr>
                    <w:t>9</w:t>
                  </w:r>
                </w:p>
              </w:txbxContent>
            </v:textbox>
          </v:shape>
        </w:pict>
      </w:r>
      <w:r w:rsidRPr="00DD0F19">
        <w:rPr>
          <w:rFonts w:ascii="Calibri" w:hAnsi="Calibri" w:cs="Arial"/>
          <w:noProof/>
        </w:rPr>
        <w:object w:dxaOrig="9802" w:dyaOrig="5876">
          <v:shape id="Diagramm 2" o:spid="_x0000_i1037" type="#_x0000_t75" style="width:485.25pt;height:294pt;visibility:visible" o:ole="">
            <v:imagedata r:id="rId29" o:title=""/>
            <o:lock v:ext="edit" aspectratio="f"/>
          </v:shape>
          <o:OLEObject Type="Embed" ProgID="Excel.Chart.8" ShapeID="Diagramm 2" DrawAspect="Content" ObjectID="_1330351639" r:id="rId30"/>
        </w:object>
      </w:r>
    </w:p>
    <w:p w:rsidR="007A1EF5" w:rsidRDefault="007A1EF5">
      <w:pPr>
        <w:spacing w:line="360" w:lineRule="auto"/>
        <w:jc w:val="both"/>
        <w:outlineLvl w:val="1"/>
        <w:rPr>
          <w:rFonts w:ascii="Calibri" w:hAnsi="Calibri" w:cs="Arial"/>
        </w:rPr>
      </w:pPr>
      <w:r>
        <w:rPr>
          <w:rFonts w:ascii="Calibri" w:hAnsi="Calibri" w:cs="Arial"/>
        </w:rPr>
        <w:t>Mit 41,2 Prozent die größte Einkommensklasse bilden die Steuerpflichtigen mit Gesamteinkünften von weniger als 15.000 Euro im Jahr. Dies sind in absoluten Zahlen ausgedrückt 32.160 Bürgerinnen und Bürger. In den unteren Einkommensklassen erzielen drei von fünf Steuerpflichtigen in Leverkusen Einkünfte unter 30.000 Euro. Damit in einem engen Zusammenhang steht nun die sog. relative Einkommensverteilung, nach der den beiden unteren Einkommensklassen nur ca. 22,5 Prozent der erwirtschafteten Gesamteinkünfte zur Verfügung stehen. Die oberen beiden Fünftel können dagegen immerhin 78,5 Prozent des Einkommens vorweisen. In der Spitze beläuft sich der Anteil, über den die Bestverdiener (ab 100.000 Euro) am erzielten Gesamtbetrag der Einkünfte verfügen, auf 15,9 Prozent. Die Differenz zwischen den Anteilen der Steuerpflichtigen und deren Einkünfte in der jeweiligen Einkommensgruppe spiegelt das Ausmaß der Ungleichheit in der Einkommensverteilung wider. Mit Abbildung n weist die Statistikstelle anhand eines statistischen Koeffizienten die Streuung der einzelnen Einkommensklassen nach. Die konstante Kurve zeigt das theoretische Idealmaß einer Gleichverteilung, die darunter verlaufende Linie die tatsächlich gemessene reale Verteilung. Die Streuung der Einkommenspflichtigen in Einkommensklassen und damit die Ungleichheitsverteilung sind in Leverkusen deutlich stärker ausgeprägt als im Landes- oder Bundesdurchschnitt. In Deutschland beträgt der Anteil Steuerpflichtiger in der niedrigsten Einkommensklasse 35,7 Prozent, in NRW bereits 36,9 Prozent. Leverkusen liegt 5,5 Prozentpunkte schlechter als der Bundeswert. Relativ größer sind andernorts die mittleren Einkommensklassen.</w:t>
      </w:r>
    </w:p>
    <w:p w:rsidR="007A1EF5" w:rsidRDefault="007A1EF5">
      <w:pPr>
        <w:keepNext/>
        <w:tabs>
          <w:tab w:val="left" w:pos="7938"/>
        </w:tabs>
        <w:spacing w:line="360" w:lineRule="auto"/>
        <w:jc w:val="both"/>
        <w:outlineLvl w:val="1"/>
      </w:pPr>
      <w:r>
        <w:rPr>
          <w:noProof/>
        </w:rPr>
        <w:pict>
          <v:shape id="_x0000_s1036" type="#_x0000_t202" style="position:absolute;left:0;text-align:left;margin-left:338.15pt;margin-top:103.3pt;width:63pt;height:17.9pt;z-index:251644928" filled="f" stroked="f">
            <v:textbox style="mso-next-textbox:#_x0000_s1036">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0</w:t>
                  </w:r>
                </w:p>
              </w:txbxContent>
            </v:textbox>
          </v:shape>
        </w:pict>
      </w:r>
      <w:r w:rsidRPr="00EE6920">
        <w:rPr>
          <w:rFonts w:ascii="Calibri" w:hAnsi="Calibri" w:cs="Arial"/>
          <w:noProof/>
        </w:rPr>
        <w:pict>
          <v:shape id="Bild 3" o:spid="_x0000_i1038" type="#_x0000_t75" style="width:308.25pt;height:234pt;visibility:visible" o:bordertopcolor="black" o:borderleftcolor="black" o:borderbottomcolor="black" o:borderrightcolor="black">
            <v:imagedata r:id="rId31" o:title=""/>
            <w10:bordertop type="single" width="2"/>
            <w10:borderleft type="single" width="2"/>
            <w10:borderbottom type="single" width="2"/>
            <w10:borderright type="single" width="2"/>
          </v:shape>
        </w:pict>
      </w:r>
    </w:p>
    <w:p w:rsidR="007A1EF5" w:rsidRDefault="007A1EF5">
      <w:pPr>
        <w:pStyle w:val="Caption"/>
        <w:jc w:val="both"/>
        <w:rPr>
          <w:rFonts w:ascii="Calibri" w:hAnsi="Calibri" w:cs="Arial"/>
          <w:b w:val="0"/>
          <w:color w:val="auto"/>
          <w:sz w:val="22"/>
          <w:szCs w:val="22"/>
        </w:rPr>
      </w:pPr>
      <w:r>
        <w:rPr>
          <w:rFonts w:ascii="Calibri" w:hAnsi="Calibri"/>
          <w:b w:val="0"/>
          <w:color w:val="auto"/>
          <w:sz w:val="22"/>
          <w:szCs w:val="22"/>
        </w:rPr>
        <w:t xml:space="preserve">Abbildung </w:t>
      </w:r>
      <w:r>
        <w:rPr>
          <w:rFonts w:ascii="Calibri" w:hAnsi="Calibri"/>
          <w:b w:val="0"/>
          <w:color w:val="auto"/>
          <w:sz w:val="22"/>
          <w:szCs w:val="22"/>
        </w:rPr>
        <w:fldChar w:fldCharType="begin"/>
      </w:r>
      <w:r>
        <w:rPr>
          <w:rFonts w:ascii="Calibri" w:hAnsi="Calibri"/>
          <w:b w:val="0"/>
          <w:color w:val="auto"/>
          <w:sz w:val="22"/>
          <w:szCs w:val="22"/>
        </w:rPr>
        <w:instrText xml:space="preserve"> SEQ Abbildung \* ARABIC </w:instrText>
      </w:r>
      <w:r>
        <w:rPr>
          <w:rFonts w:ascii="Calibri" w:hAnsi="Calibri"/>
          <w:b w:val="0"/>
          <w:color w:val="auto"/>
          <w:sz w:val="22"/>
          <w:szCs w:val="22"/>
        </w:rPr>
        <w:fldChar w:fldCharType="separate"/>
      </w:r>
      <w:r>
        <w:rPr>
          <w:rFonts w:ascii="Calibri" w:hAnsi="Calibri"/>
          <w:b w:val="0"/>
          <w:noProof/>
          <w:color w:val="auto"/>
          <w:sz w:val="22"/>
          <w:szCs w:val="22"/>
        </w:rPr>
        <w:t>1</w:t>
      </w:r>
      <w:r>
        <w:rPr>
          <w:rFonts w:ascii="Calibri" w:hAnsi="Calibri"/>
          <w:b w:val="0"/>
          <w:color w:val="auto"/>
          <w:sz w:val="22"/>
          <w:szCs w:val="22"/>
        </w:rPr>
        <w:fldChar w:fldCharType="end"/>
      </w:r>
      <w:r>
        <w:rPr>
          <w:rFonts w:ascii="Calibri" w:hAnsi="Calibri"/>
          <w:b w:val="0"/>
          <w:color w:val="auto"/>
          <w:sz w:val="22"/>
          <w:szCs w:val="22"/>
        </w:rPr>
        <w:t>: Stadt Leverkusen, Berichte zur Stadtforschung (Heft 71), S. 17</w:t>
      </w:r>
    </w:p>
    <w:p w:rsidR="007A1EF5" w:rsidRDefault="007A1EF5">
      <w:pPr>
        <w:spacing w:line="360" w:lineRule="auto"/>
        <w:jc w:val="both"/>
        <w:outlineLvl w:val="1"/>
        <w:rPr>
          <w:rFonts w:ascii="Calibri" w:hAnsi="Calibri" w:cs="Arial"/>
        </w:rPr>
      </w:pPr>
      <w:r>
        <w:rPr>
          <w:rFonts w:ascii="Calibri" w:hAnsi="Calibri" w:cs="Arial"/>
        </w:rPr>
        <w:t>Für eingehendere Analysen zum Thema Einkommensverteilung wird die Lektüre von Heft 71 der Berichte zur Stadtforschung „Einkommensverhältnisse und Einkommenssteuer in Leverkusen 2004“ empfohlen. Als eine der künftigen Herausforderungen der Sozialberichterstattung im Hinblick auf die Funktion von Armutsfolgenprävention sollte eine Zuordnung von Einkommen zu Haushalten erfolgen. Die Aussagekraft des sogenannten Haushaltsnettoeinkommens sagt etwas darüber aus, wie viel Geld privaten Haushalten zur Bestreitung ihres Lebensunterhalts tatsächlich zur Verfügung steht (vgl. Dortmunder Bericht zur Sozialen Lage, S. 72).</w:t>
      </w:r>
    </w:p>
    <w:p w:rsidR="007A1EF5" w:rsidRDefault="007A1EF5">
      <w:pPr>
        <w:spacing w:line="360" w:lineRule="auto"/>
        <w:outlineLvl w:val="1"/>
        <w:rPr>
          <w:rFonts w:ascii="Calibri" w:hAnsi="Calibri" w:cs="Arial"/>
        </w:rPr>
      </w:pPr>
    </w:p>
    <w:p w:rsidR="007A1EF5" w:rsidRDefault="007A1EF5">
      <w:pPr>
        <w:numPr>
          <w:ilvl w:val="0"/>
          <w:numId w:val="28"/>
          <w:numberingChange w:id="35" w:author="STV-50-VOGT" w:date="2010-03-17T17:16:00Z" w:original=""/>
        </w:numPr>
        <w:spacing w:line="360" w:lineRule="auto"/>
        <w:outlineLvl w:val="1"/>
        <w:rPr>
          <w:rFonts w:ascii="Calibri" w:hAnsi="Calibri" w:cs="Arial"/>
        </w:rPr>
      </w:pPr>
      <w:r>
        <w:rPr>
          <w:rFonts w:ascii="Calibri" w:hAnsi="Calibri" w:cs="Arial"/>
        </w:rPr>
        <w:t>Einkommensersatzleistungen</w:t>
      </w:r>
    </w:p>
    <w:p w:rsidR="007A1EF5" w:rsidRDefault="007A1EF5">
      <w:pPr>
        <w:spacing w:line="360" w:lineRule="auto"/>
        <w:jc w:val="both"/>
        <w:outlineLvl w:val="1"/>
        <w:rPr>
          <w:rFonts w:ascii="Calibri" w:hAnsi="Calibri" w:cs="Arial"/>
        </w:rPr>
      </w:pPr>
      <w:r>
        <w:rPr>
          <w:rFonts w:ascii="Calibri" w:hAnsi="Calibri" w:cs="Arial"/>
        </w:rPr>
        <w:t>Einkommensersatzleistungen für Personen ohne Erwerbseinkommen sind ein wesentlicher Ausgabenbereich für Kommunen wie die Stadt Leverkusen. Kommunale Transferleistungen, wie zum Beispiel die Übernahme der Unterkunftskosten für Personen, die im Bezug von Hartz IV (Zweites Buch Sozialgesetzbuch) stehen oder die Grundsicherung für ältere Menschen (Zwölftes Buch Sozialgesetzbuch), machen einen großen Teil des kommunalen Sozialetats aus. Diese Ausgaben steigen in Leverkusen aufgrund der dargestellten gesamtgesellschaftlichen Entwicklungslinien stetig weiter an. Umso wichtiger ist es die Ursachen noch besser zu kennen, die zur Leistungsgewährung und damit zur Kostenexplosion führen. Zwar kann die Stadt Leverkusen die Ausgaben der Leistungsgewährung selbst nicht oder nur sehr eingeschränkt steuern. Sie kann aber präventive Maßnahmen ergreifen und versuchen, den verstärkenden Ursachen für einen Anstieg der Sozialausgaben für Einkommensersatzleistungen entgegenzuwirken.</w:t>
      </w:r>
    </w:p>
    <w:p w:rsidR="007A1EF5" w:rsidRDefault="007A1EF5">
      <w:pPr>
        <w:spacing w:line="360" w:lineRule="auto"/>
        <w:jc w:val="both"/>
        <w:outlineLvl w:val="1"/>
        <w:rPr>
          <w:rFonts w:ascii="Calibri" w:hAnsi="Calibri" w:cs="Arial"/>
        </w:rPr>
      </w:pPr>
      <w:r>
        <w:rPr>
          <w:rFonts w:ascii="Calibri" w:hAnsi="Calibri" w:cs="Arial"/>
        </w:rPr>
        <w:t>Der Anteil der Empfänger von Einkommensersatzleistungen variiert in Leverkusen zwischen den einzelnen Generationen deutlich. Das hohe Rentenniveau und eine starke Kaufkraft der älteren Bevölkerung sind die Hauptgründe dafür, dass verhältnismäßig wenige ältere Menschen auf Sozialleistungen angewiesen sind, um ihren Lebensunterhalt sicherzustellen. Anders sieht dies bei den jüngeren Altersgruppen aus. Daher stehen mit Blick auf das Thema Einkommensarmut im Rahmen der Sozialberichterstattung bestimmte Zielgruppen im Mittelpunkt. Dies sind Kinder, Jugendliche und Familien.</w:t>
      </w: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p>
    <w:p w:rsidR="007A1EF5" w:rsidRDefault="007A1EF5">
      <w:pPr>
        <w:numPr>
          <w:ilvl w:val="0"/>
          <w:numId w:val="14"/>
          <w:numberingChange w:id="36" w:author="STV-50-VOGT" w:date="2010-03-17T17:16:00Z" w:original=""/>
        </w:numPr>
        <w:spacing w:line="360" w:lineRule="auto"/>
        <w:outlineLvl w:val="1"/>
        <w:rPr>
          <w:rFonts w:ascii="Calibri" w:hAnsi="Calibri" w:cs="Arial"/>
        </w:rPr>
      </w:pPr>
      <w:r>
        <w:rPr>
          <w:rFonts w:ascii="Calibri" w:hAnsi="Calibri" w:cs="Arial"/>
        </w:rPr>
        <w:t>Leistungsempfänger nach dem Zweiten Buch des Sozialgesetzbuchs („Hartz IV“)</w:t>
      </w:r>
    </w:p>
    <w:p w:rsidR="007A1EF5" w:rsidRDefault="007A1EF5">
      <w:pPr>
        <w:spacing w:line="360" w:lineRule="auto"/>
        <w:jc w:val="both"/>
        <w:outlineLvl w:val="1"/>
        <w:rPr>
          <w:rFonts w:ascii="Calibri" w:hAnsi="Calibri" w:cs="Arial"/>
        </w:rPr>
      </w:pPr>
      <w:r>
        <w:rPr>
          <w:rFonts w:ascii="Calibri" w:hAnsi="Calibri" w:cs="Arial"/>
        </w:rPr>
        <w:t>Die Quote der Empfänger von Leistungen nach dem Zweiten Buch Sozialgesetzbuch (SGB II), besser bekannt unter „Hartz IV“, lag in Leverkusen am 31.12.2007 bei 9,4 Prozent. Damit wird der Durchschnittswert für Nordrhein-Westfalen genau erreicht und die Quote anderer Städte in vergleichbarerer strukturellen Situation leicht überschritten (z.B. Solingen: 9,3 Prozent). Besser steht Leverkusen als Köln (12 Prozent) und deutlich besser als Duisburg (14 Prozent) da. Knapp jeder/jede Zehnte lebt in Leverkusen folglich von Unterstützungsleistungen der Arbeitsgemeinschaft Leverkusen. In absoluten Zahlen waren dies etwas mehr als 15.000 Bürgerinnen und Bürger. Besonders der Anteil junger Menschen im Alter bis zu 25 Jahren unter den Leistungsempfängern fällt ins Gewicht. Immerhin 16 Prozent (6.424 Personen) von ihnen Einkommensersatzleistungen nach dem SGB II. Die Zahl der Leistungsempfänger, für die die Stadt Leverkusen infolge der Zusammenlegung von Arbeitslosenhilfe und Sozialhilfe Sorge tragen muss, hat sich erhöht, als dass sie im Jahr 2004 noch für 3,4 Prozent der Bevölkerung bzw. knapp 5.400 Menschen zuständig war. Legt man als Maßstab die altersgleiche Bevölkerung (bis 65 Jahre) zugrunde, so beträgt die sogenannte SGB II-Quote 11,9 Prozent. Auch hier liegt Leverkusen gegenüber dem Landeswert ziemlich genau im Mittel.</w:t>
      </w:r>
    </w:p>
    <w:p w:rsidR="007A1EF5" w:rsidRDefault="007A1EF5">
      <w:pPr>
        <w:spacing w:line="360" w:lineRule="auto"/>
        <w:jc w:val="both"/>
        <w:outlineLvl w:val="1"/>
        <w:rPr>
          <w:rFonts w:ascii="Calibri" w:hAnsi="Calibri" w:cs="Arial"/>
        </w:rPr>
      </w:pPr>
    </w:p>
    <w:p w:rsidR="007A1EF5" w:rsidRDefault="007A1EF5">
      <w:pPr>
        <w:spacing w:line="360" w:lineRule="auto"/>
        <w:outlineLvl w:val="1"/>
        <w:rPr>
          <w:rFonts w:ascii="Calibri" w:hAnsi="Calibri" w:cs="Arial"/>
        </w:rPr>
      </w:pPr>
      <w:r w:rsidRPr="00DD0F19">
        <w:rPr>
          <w:rFonts w:ascii="Calibri" w:hAnsi="Calibri" w:cs="Arial"/>
          <w:noProof/>
        </w:rPr>
        <w:object w:dxaOrig="8065" w:dyaOrig="3293">
          <v:shape id="_x0000_i1039" type="#_x0000_t75" style="width:403.5pt;height:165pt;visibility:visible" o:ole="">
            <v:imagedata r:id="rId32" o:title="" cropbottom="-20f"/>
            <o:lock v:ext="edit" aspectratio="f"/>
          </v:shape>
          <o:OLEObject Type="Embed" ProgID="Excel.Chart.8" ShapeID="_x0000_i1039" DrawAspect="Content" ObjectID="_1330351640" r:id="rId33"/>
        </w:object>
      </w: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r>
        <w:rPr>
          <w:noProof/>
        </w:rPr>
        <w:pict>
          <v:shape id="_x0000_s1037" type="#_x0000_t202" style="position:absolute;margin-left:176.15pt;margin-top:178.3pt;width:63pt;height:17.9pt;z-index:251645952" filled="f" stroked="f">
            <v:textbox style="mso-next-textbox:#_x0000_s1037">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1</w:t>
                  </w:r>
                </w:p>
              </w:txbxContent>
            </v:textbox>
          </v:shape>
        </w:pict>
      </w:r>
      <w:r w:rsidRPr="00DD0F19">
        <w:rPr>
          <w:rFonts w:ascii="Calibri" w:hAnsi="Calibri" w:cs="Arial"/>
          <w:noProof/>
        </w:rPr>
        <w:object w:dxaOrig="8055" w:dyaOrig="3543">
          <v:shape id="_x0000_i1040" type="#_x0000_t75" style="width:402.75pt;height:175.5pt;visibility:visible" o:ole="">
            <v:imagedata r:id="rId34" o:title=""/>
            <o:lock v:ext="edit" aspectratio="f"/>
          </v:shape>
          <o:OLEObject Type="Embed" ProgID="Excel.Chart.8" ShapeID="_x0000_i1040" DrawAspect="Content" ObjectID="_1330351641" r:id="rId35"/>
        </w:objec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Besondere Aufmerksamkeit muss eine handlungsorientierte Sozialberichterstattung auf Ursachen und Gründe richten, die dazu führen, dass Menschen nicht aus eigenem Einkommen ihren Lebensunterhalt bestreiten können. So fällt auf, dass ein besonderes Gefährdungspotenzial für Armutsbetroffenheit bestimmten Personengruppen zugeschrieben werden muss. Eine Risikogruppe stellen Frauen im Alter zwischen 15 und 45 Jahren dar, denn unter ihnen liegt der Anteil im Leistungsbezug 3,3 Prozentpunkte höher als bei der weiblichen Bevölkerung insgesamt. Die Gruppe ist deshalb von besonderer Bedeutung, weil Frauen in diesem Alter Kinder zur Welt bringen, die das Humanvermögen (vgl. Handlungsfeld Bildung und Erziehung) von morgen bilden.</w:t>
      </w:r>
    </w:p>
    <w:p w:rsidR="007A1EF5" w:rsidRDefault="007A1EF5">
      <w:pPr>
        <w:spacing w:line="360" w:lineRule="auto"/>
        <w:outlineLvl w:val="1"/>
        <w:rPr>
          <w:rFonts w:ascii="Calibri" w:hAnsi="Calibri" w:cs="Arial"/>
        </w:rPr>
      </w:pPr>
      <w:r>
        <w:rPr>
          <w:noProof/>
        </w:rPr>
        <w:pict>
          <v:shape id="_x0000_s1038" type="#_x0000_t202" style="position:absolute;margin-left:122.15pt;margin-top:156.25pt;width:63pt;height:17.9pt;z-index:251646976" filled="f" stroked="f">
            <v:textbox style="mso-next-textbox:#_x0000_s1038">
              <w:txbxContent>
                <w:p w:rsidR="007A1EF5" w:rsidRPr="00931AD9" w:rsidRDefault="007A1EF5">
                  <w:pPr>
                    <w:rPr>
                      <w:sz w:val="16"/>
                      <w:szCs w:val="16"/>
                    </w:rPr>
                  </w:pPr>
                  <w:r w:rsidRPr="00931AD9">
                    <w:rPr>
                      <w:sz w:val="16"/>
                      <w:szCs w:val="16"/>
                    </w:rPr>
                    <w:t>Abbildung</w:t>
                  </w:r>
                  <w:r>
                    <w:rPr>
                      <w:sz w:val="16"/>
                      <w:szCs w:val="16"/>
                    </w:rPr>
                    <w:t xml:space="preserve"> 12</w:t>
                  </w:r>
                </w:p>
              </w:txbxContent>
            </v:textbox>
          </v:shape>
        </w:pict>
      </w:r>
      <w:r w:rsidRPr="00DD0F19">
        <w:rPr>
          <w:rFonts w:ascii="Calibri" w:hAnsi="Calibri" w:cs="Arial"/>
          <w:noProof/>
        </w:rPr>
        <w:object w:dxaOrig="8967" w:dyaOrig="3572">
          <v:shape id="Objekt 15" o:spid="_x0000_i1041" type="#_x0000_t75" style="width:448.5pt;height:179.25pt;visibility:visible" o:ole="">
            <v:imagedata r:id="rId36" o:title="" cropbottom="-202f" cropright="-29f"/>
            <o:lock v:ext="edit" aspectratio="f"/>
          </v:shape>
          <o:OLEObject Type="Embed" ProgID="Excel.Chart.8" ShapeID="Objekt 15" DrawAspect="Content" ObjectID="_1330351642" r:id="rId37"/>
        </w:object>
      </w:r>
    </w:p>
    <w:p w:rsidR="007A1EF5" w:rsidRDefault="007A1EF5">
      <w:pPr>
        <w:spacing w:line="360" w:lineRule="auto"/>
        <w:jc w:val="both"/>
        <w:outlineLvl w:val="1"/>
        <w:rPr>
          <w:rFonts w:ascii="Calibri" w:hAnsi="Calibri" w:cs="Arial"/>
        </w:rPr>
      </w:pPr>
      <w:r>
        <w:rPr>
          <w:rFonts w:ascii="Calibri" w:hAnsi="Calibri" w:cs="Arial"/>
        </w:rPr>
        <w:t>Legt man zugrunde, dass es in Leverkusen gegenwärtig 7.887 ( Stand 31.12.2009</w:t>
      </w:r>
      <w:r>
        <w:rPr>
          <w:rFonts w:ascii="Calibri" w:hAnsi="Calibri" w:cs="Arial"/>
          <w:color w:val="FF0000"/>
        </w:rPr>
        <w:t>)</w:t>
      </w:r>
      <w:r>
        <w:rPr>
          <w:rFonts w:ascii="Calibri" w:hAnsi="Calibri" w:cs="Arial"/>
        </w:rPr>
        <w:t xml:space="preserve"> Bedarfsgemeinschaften gibt, und dass von diesen immerhin 1.446 den Bedarfsgemeinschaftstyp „alleinerziehend“ aufweisen, dann führt dies zu der Schlussfolgerung, dass in jeder fünften Bedarfsgemeinschaft das Risiko alleinerziehender Elternteil zumindest eine Ursache für den Leistungsbezug darstellt. Unter allen Alleinerziehenden-Haushalten leben fast 37 Prozent von SGB II-Leistungen. Nimmt man nun noch die zweite Gruppe von Personen hinzu, Privathaushalte mit drei und mehr Kindern, die sich gegenwärtig über kommunale Zahlen statistisch noch nicht abbilden lässt, dann wird klar, dass hier dringend etwas getan werden muss. Die Vereinbarkeit von Kindererziehung und Berufstätigkeit zur sicheren Einkommenserzielung muss unbedingt gefördert werden und gehört zu den vorrangigsten Aufgaben zur Steigerung von sozialen Teilhabemöglichkeiten.</w:t>
      </w:r>
    </w:p>
    <w:p w:rsidR="007A1EF5" w:rsidRDefault="007A1EF5">
      <w:pPr>
        <w:pStyle w:val="ListParagraph"/>
        <w:ind w:left="0"/>
        <w:rPr>
          <w:rFonts w:ascii="Calibri" w:hAnsi="Calibri" w:cs="Arial"/>
        </w:rPr>
      </w:pPr>
      <w:r>
        <w:rPr>
          <w:noProof/>
        </w:rPr>
        <w:pict>
          <v:shape id="_x0000_s1039" type="#_x0000_t202" style="position:absolute;margin-left:104.15pt;margin-top:174.1pt;width:63pt;height:17.9pt;z-index:251648000" filled="f" stroked="f">
            <v:textbox style="mso-next-textbox:#_x0000_s1039">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3</w:t>
                  </w:r>
                </w:p>
              </w:txbxContent>
            </v:textbox>
          </v:shape>
        </w:pict>
      </w:r>
      <w:r w:rsidRPr="00DD0F19">
        <w:rPr>
          <w:rFonts w:ascii="Calibri" w:hAnsi="Calibri" w:cs="Arial"/>
          <w:noProof/>
        </w:rPr>
        <w:object w:dxaOrig="8314" w:dyaOrig="3946">
          <v:shape id="Objekt 18" o:spid="_x0000_i1042" type="#_x0000_t75" style="width:415.5pt;height:198pt;visibility:visible" o:ole="">
            <v:imagedata r:id="rId38" o:title="" cropbottom="-100f" cropright="-16f"/>
            <o:lock v:ext="edit" aspectratio="f"/>
          </v:shape>
          <o:OLEObject Type="Embed" ProgID="Excel.Chart.8" ShapeID="Objekt 18" DrawAspect="Content" ObjectID="_1330351643" r:id="rId39"/>
        </w:object>
      </w:r>
    </w:p>
    <w:p w:rsidR="007A1EF5" w:rsidRDefault="007A1EF5">
      <w:pPr>
        <w:pStyle w:val="ListParagraph"/>
        <w:spacing w:line="360" w:lineRule="auto"/>
        <w:ind w:left="0"/>
        <w:jc w:val="both"/>
        <w:rPr>
          <w:rFonts w:ascii="Calibri" w:hAnsi="Calibri" w:cs="Arial"/>
        </w:rPr>
      </w:pPr>
      <w:r>
        <w:rPr>
          <w:rFonts w:ascii="Calibri" w:hAnsi="Calibri" w:cs="Arial"/>
        </w:rPr>
        <w:t>Andernfalls droht der Anteil von Kindern, die von SGB II-Leistungen leben müssen, noch stärker zu steigen als bisher. Hier ist seitens der Sozialberichterstattung eine Langzeitbeobachtung angezeigt. Zuletzt erhielten 4.225 Kinder in Leverkusen Sozialgeld als eigenständige Teilleistung des SGB II. Damit lag der Anteil an allen Kindern bei fast 19 Prozent. Nahezu jedes fünfte Kind lebt in der Stadt somit von Sozialgeld. Zum Vergleich liegt in Köln die Quote bei 23,6 Prozent. Im Bundesdurchschnitt liegt die Quote bei 16,3 Prozent. Entscheidend ist jedoch, dass damit das Phänomen Kinderarmut nicht im Gesamten abgebildet werden kann, denn eine Dunkelziffer bleibt außen vor. Außerdem ist die in Kapitel 4 des Berichts aufzuzeigende Diskrepanz der Sozialgeld-Quote zwischen den einzelnen Stadtteilen ein Grund dafür, weshalb die Entwicklungen hier künftig unter Teilhabegesichtspunkten wie auch aus finanzwirtschaftlicher Perspektive dringend beobachtet werden müssen.</w:t>
      </w:r>
    </w:p>
    <w:p w:rsidR="007A1EF5" w:rsidRDefault="007A1EF5">
      <w:pPr>
        <w:pStyle w:val="ListParagraph"/>
        <w:spacing w:line="360" w:lineRule="auto"/>
        <w:ind w:left="0"/>
        <w:jc w:val="both"/>
        <w:rPr>
          <w:rFonts w:ascii="Calibri" w:hAnsi="Calibri" w:cs="Arial"/>
        </w:rPr>
      </w:pPr>
    </w:p>
    <w:p w:rsidR="007A1EF5" w:rsidRDefault="007A1EF5">
      <w:pPr>
        <w:numPr>
          <w:ilvl w:val="0"/>
          <w:numId w:val="14"/>
          <w:numberingChange w:id="37" w:author="STV-50-VOGT" w:date="2010-03-17T17:16:00Z" w:original=""/>
        </w:numPr>
        <w:spacing w:line="360" w:lineRule="auto"/>
        <w:outlineLvl w:val="1"/>
        <w:rPr>
          <w:rFonts w:ascii="Calibri" w:hAnsi="Calibri" w:cs="Arial"/>
        </w:rPr>
      </w:pPr>
      <w:r>
        <w:rPr>
          <w:rFonts w:ascii="Calibri" w:hAnsi="Calibri" w:cs="Arial"/>
        </w:rPr>
        <w:t>Leistungsempfänger nach dem Zwölften Buch des Sozialgesetzbuchs</w:t>
      </w:r>
    </w:p>
    <w:p w:rsidR="007A1EF5" w:rsidRDefault="007A1EF5">
      <w:pPr>
        <w:pStyle w:val="ListParagraph"/>
        <w:spacing w:line="360" w:lineRule="auto"/>
        <w:ind w:left="0"/>
        <w:jc w:val="both"/>
        <w:rPr>
          <w:rFonts w:ascii="Calibri" w:hAnsi="Calibri" w:cs="Arial"/>
        </w:rPr>
      </w:pPr>
      <w:r>
        <w:rPr>
          <w:rFonts w:ascii="Calibri" w:hAnsi="Calibri" w:cs="Arial"/>
        </w:rPr>
        <w:t>Leistungen nach dem Zwölften Buch des Sozialgesetzbuchs (SGB XII) werden durch die Stadt Leverkusen insbesondere für Personen erbracht, die ihren eigenen Lebensunterhalt im Alter oder im Falle der Erwerbsminderung nicht aus eigener Kraft bestreiten können. Im Vergleich zum Anteil der erwerbsfähigen Bevölkerung und zu Kindern liegt der Anteil der Leistungsempfänger im SGB XII in Leverkusen deutlich unter dem Schnitt. Eine Beobachtung über längere Zeiträume hinweg gibt jedoch auch hier bereits deutliche Hinweise, dass künftig mehr Betroffene zum Personenkreis gehören werden, für die die Stadt Leverkusen Leistungen zu erbringen hat. Über die letzten Jahre sind geringfügige Steigerungsraten von zwischen 0,1 und 0,2 Prozentpunkten im Verhältnis zur Gesamtbevölkerung festzustellen. Die absoluten Zahlen zeigen jedoch seit dem 1. Januar 2005 eine Steigerung um bis zu 25 Prozent, knapp 2.500 gegenüber 2.000 Personen noch vier Jahre zuvor erhielten Leistungen. Dennoch liegt die Stadt Leverkusen bei der Gewährung von Leistungen außerhalb von Einrichtungen mit einer Quote von 1,2 Prozent deutlich unter dem Bundesdurchschnitt von 2,5 Prozent. Ein Kennzahlenvergleich zwischen mittelgroßen Städten in NRW zeigt Leverkusen hinter Münster und Bonn als Kommune mit dem drittniedrigsten Leistungsanteil.</w:t>
      </w:r>
    </w:p>
    <w:p w:rsidR="007A1EF5" w:rsidRDefault="007A1EF5">
      <w:pPr>
        <w:spacing w:line="360" w:lineRule="auto"/>
        <w:jc w:val="both"/>
        <w:outlineLvl w:val="1"/>
        <w:rPr>
          <w:rFonts w:ascii="Calibri" w:hAnsi="Calibri" w:cs="Arial"/>
        </w:rPr>
      </w:pPr>
      <w:r>
        <w:rPr>
          <w:rFonts w:ascii="Calibri" w:hAnsi="Calibri" w:cs="Arial"/>
        </w:rPr>
        <w:t>Gerade bei Personen im Alter zeigt sich ein deutliches Missverhältnis der Generationengerechtigkeit. Der Kommunalstatistik zufolge lebten am 31.12.2007 in Leverkusen 35.196 Personen, die 65 Jahre und älter waren. Von ihnen erhielten 858 Grundsicherungsleistungen, somit 2,4 Prozent der altersgleichen Bevölkerung. Damit liegt Leverkusen allerdings genau im Mittel von Bund und Land. Selbstverständlich ist das Missverhältnis zwischen den Generationen nicht der älteren Bevölkerungsgruppe anzulasten. Vielmehr zeigt sich eine tendenzielle Entwicklung, die auf Leverkusen hervorgerufen durch den strukturellen und demografischen Wandel in den nächsten Jahren und Jahrzehnten zukommen wird. Denn auch bei der älteren Bevölkerung ist ein langsamer aber kontinuierlicher Anstieg von Leistungszahlen gegenüber Vorjahren zu verzeichnen.</w:t>
      </w:r>
    </w:p>
    <w:p w:rsidR="007A1EF5" w:rsidRDefault="007A1EF5">
      <w:pPr>
        <w:spacing w:line="360" w:lineRule="auto"/>
        <w:outlineLvl w:val="1"/>
        <w:rPr>
          <w:rFonts w:ascii="Calibri" w:hAnsi="Calibri" w:cs="Arial"/>
        </w:rPr>
      </w:pPr>
      <w:r w:rsidRPr="00DD0F19">
        <w:rPr>
          <w:rFonts w:ascii="Calibri" w:hAnsi="Calibri" w:cs="Arial"/>
          <w:noProof/>
        </w:rPr>
        <w:object w:dxaOrig="8670" w:dyaOrig="3764">
          <v:shape id="Objekt 19" o:spid="_x0000_i1043" type="#_x0000_t75" style="width:433.5pt;height:189pt;visibility:visible" o:ole="">
            <v:imagedata r:id="rId40" o:title="" cropbottom="-209f" cropright="-23f"/>
            <o:lock v:ext="edit" aspectratio="f"/>
          </v:shape>
          <o:OLEObject Type="Embed" ProgID="Excel.Chart.8" ShapeID="Objekt 19" DrawAspect="Content" ObjectID="_1330351644" r:id="rId41"/>
        </w:object>
      </w:r>
    </w:p>
    <w:p w:rsidR="007A1EF5" w:rsidRDefault="007A1EF5">
      <w:pPr>
        <w:pStyle w:val="ListParagraph"/>
        <w:spacing w:line="360" w:lineRule="auto"/>
        <w:ind w:left="0"/>
        <w:rPr>
          <w:rFonts w:ascii="Calibri" w:hAnsi="Calibri" w:cs="Arial"/>
        </w:rPr>
      </w:pPr>
      <w:r w:rsidRPr="00DD0F19">
        <w:rPr>
          <w:rFonts w:ascii="Calibri" w:hAnsi="Calibri" w:cs="Arial"/>
          <w:noProof/>
        </w:rPr>
        <w:object w:dxaOrig="8554" w:dyaOrig="3168">
          <v:shape id="Diagramm 3" o:spid="_x0000_i1044" type="#_x0000_t75" style="width:427.5pt;height:156.75pt;visibility:visible" o:ole="">
            <v:imagedata r:id="rId42" o:title="" cropbottom="-62f"/>
            <o:lock v:ext="edit" aspectratio="f"/>
          </v:shape>
          <o:OLEObject Type="Embed" ProgID="Excel.Chart.8" ShapeID="Diagramm 3" DrawAspect="Content" ObjectID="_1330351645" r:id="rId43"/>
        </w:object>
      </w:r>
    </w:p>
    <w:p w:rsidR="007A1EF5" w:rsidRDefault="007A1EF5">
      <w:pPr>
        <w:spacing w:line="360" w:lineRule="auto"/>
        <w:outlineLvl w:val="1"/>
        <w:rPr>
          <w:rFonts w:ascii="Calibri" w:hAnsi="Calibri" w:cs="Arial"/>
        </w:rPr>
      </w:pPr>
      <w:r>
        <w:rPr>
          <w:noProof/>
        </w:rPr>
        <w:pict>
          <v:shape id="_x0000_s1040" type="#_x0000_t202" style="position:absolute;margin-left:185.15pt;margin-top:4.95pt;width:63pt;height:17.9pt;z-index:251649024" filled="f" stroked="f">
            <v:textbox style="mso-next-textbox:#_x0000_s1040">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4</w:t>
                  </w:r>
                </w:p>
              </w:txbxContent>
            </v:textbox>
          </v:shape>
        </w:pict>
      </w:r>
    </w:p>
    <w:p w:rsidR="007A1EF5" w:rsidRPr="00FF09C0" w:rsidRDefault="007A1EF5">
      <w:pPr>
        <w:pBdr>
          <w:bottom w:val="single" w:sz="4" w:space="1" w:color="auto"/>
        </w:pBdr>
        <w:spacing w:line="360" w:lineRule="auto"/>
        <w:outlineLvl w:val="2"/>
        <w:rPr>
          <w:rFonts w:ascii="Calibri" w:hAnsi="Calibri" w:cs="Arial"/>
          <w:b/>
        </w:rPr>
      </w:pPr>
      <w:r>
        <w:rPr>
          <w:rFonts w:ascii="Calibri" w:hAnsi="Calibri" w:cs="Arial"/>
        </w:rPr>
        <w:br w:type="page"/>
      </w:r>
      <w:r w:rsidRPr="00FF09C0">
        <w:rPr>
          <w:rFonts w:ascii="Calibri" w:hAnsi="Calibri" w:cs="Arial"/>
          <w:b/>
        </w:rPr>
        <w:t>(3) Handlungsfeld Arbeit und Wirtschaft</w:t>
      </w:r>
    </w:p>
    <w:p w:rsidR="007A1EF5" w:rsidRDefault="007A1EF5">
      <w:pPr>
        <w:spacing w:line="360" w:lineRule="auto"/>
        <w:outlineLvl w:val="2"/>
        <w:rPr>
          <w:rFonts w:ascii="Calibri" w:hAnsi="Calibri" w:cs="Arial"/>
          <w:highlight w:val="cyan"/>
        </w:rPr>
      </w:pPr>
    </w:p>
    <w:p w:rsidR="007A1EF5" w:rsidRDefault="007A1EF5">
      <w:pPr>
        <w:spacing w:line="360" w:lineRule="auto"/>
        <w:jc w:val="both"/>
        <w:outlineLvl w:val="2"/>
        <w:rPr>
          <w:rFonts w:ascii="Calibri" w:hAnsi="Calibri" w:cs="Arial"/>
        </w:rPr>
      </w:pPr>
      <w:r>
        <w:rPr>
          <w:rFonts w:ascii="Calibri" w:hAnsi="Calibri" w:cs="Arial"/>
        </w:rPr>
        <w:t>Bereits seit den 1970er Jahren ist die Wirtschaft in hoch entwickelten Industrienationen einem tiefgreifenden Strukturwandel unterworfen. Umbrüche im sogenannten sekundären Sektor (produzierendes Gewerbe) und die gleichzeitige Zunahme des tertiären Sektors (Dienstleistungen) wirken sich am Wirtschaftsstandort Leverkusen jedoch besonders stark aus. Die betriebliche Arbeitsorganisation, betriebliche Strukturen und Unternehmensziele haben sich verändert. In Leverkusen besteht zwar gegenüber dem bundesdeutschen Durchschnitt ein deutlich höherer Anteil von Arbeitsplätzen in der Industrie, dennoch sind auch in dieser Stadt seither fast 20.000 sozialversicherungspflichtige Arbeitsplätze weggefallen. Beschäftigungszahlen im Dienstleistungsbereich wiegen diesen Verlust nicht auf, schon gar nicht hinsichtlich der Qualität der Erwerbsarbeit.</w:t>
      </w:r>
    </w:p>
    <w:p w:rsidR="007A1EF5" w:rsidRDefault="007A1EF5">
      <w:pPr>
        <w:spacing w:line="360" w:lineRule="auto"/>
        <w:jc w:val="both"/>
        <w:outlineLvl w:val="2"/>
        <w:rPr>
          <w:rFonts w:ascii="Calibri" w:hAnsi="Calibri" w:cs="Arial"/>
          <w:color w:val="000000"/>
        </w:rPr>
      </w:pPr>
      <w:r>
        <w:rPr>
          <w:rFonts w:ascii="Calibri" w:hAnsi="Calibri" w:cs="Arial"/>
        </w:rPr>
        <w:t xml:space="preserve">Derartige Entwicklungen werden häufig mit einem generellen Bedeutungsverlust des produzierenden Gewerbes gleichgestellt. Das Gegenteil ist jedoch der Fall. </w:t>
      </w:r>
      <w:r>
        <w:rPr>
          <w:rFonts w:ascii="Calibri" w:hAnsi="Calibri" w:cs="Arial"/>
          <w:color w:val="000000"/>
        </w:rPr>
        <w:t xml:space="preserve">Die Leverkusener Wirtschaftsstruktur weist nach Informationen der IHK Köln einen Anteil von 36,3 Prozent aller Beschäftigten im produzierenden Gewerbe (sogenannter sekundärer Sektor) und 63,3 Prozent im Dienstleistungsbereich (sogenannter tertiärer Sektor) auf. Damit liegt der Anteil der industriellen Jobs deutlich über dem Landesschnitt bei 25,9 Prozent. </w:t>
      </w:r>
      <w:r>
        <w:rPr>
          <w:rFonts w:ascii="Calibri" w:hAnsi="Calibri" w:cs="Arial"/>
        </w:rPr>
        <w:t>Zur Verbesserung der Chancen im globalen Wettbewerb wurden in Industrieunternehmen vielmehr Umstrukturierungs-, Entwicklungs- und technologische Erneuerungsmaßnahmen vollzogen. Leverkusen ist nicht allein betroffen von dem deutlichen Anstieg der Arbeitslosenzahlen und spürbaren Veränderungen in der baulich-räumlichen Struktur. Aufgrund der nach wie vor stabilen Erwerbsquote in der Chemie- und Pharmabranche steht Leverkusen bei einer Arbeitslosenquote von ca. 9 Prozent deutlich besser dar als andere Industriestädte, in denen die vom Strukturwandel betroffenen Unternehmen nicht derart erfolgreich mithalten konnten (vgl. Heinz 2008, S. 85 ff.). Laut Umsatzsteuerstatistik erzielten die 4.761 Leverkusen Unternehmen 2006 einen Jahresumsatz von 26,5 Mrd. Euro.</w:t>
      </w:r>
    </w:p>
    <w:p w:rsidR="007A1EF5" w:rsidRDefault="007A1EF5">
      <w:pPr>
        <w:spacing w:line="360" w:lineRule="auto"/>
        <w:jc w:val="both"/>
        <w:outlineLvl w:val="2"/>
        <w:rPr>
          <w:rFonts w:ascii="Calibri" w:hAnsi="Calibri" w:cs="Arial"/>
        </w:rPr>
      </w:pPr>
      <w:r>
        <w:rPr>
          <w:rFonts w:ascii="Calibri" w:hAnsi="Calibri" w:cs="Arial"/>
        </w:rPr>
        <w:t>Arbeit und Wirtschaft sind ein zentrales kommunales Handlungsfeld, denn mit einer hohen Arbeitslosigkeit geht eine Reihe negativer Folgeentwicklungen für die Stadt einher. Bei der Untersuchung von Ursachen und Folgen sozialer Ausgrenzung fällt auf, dass erwerbsbezogene Ausgrenzungsfaktoren wie Langzeitarbeitslosigkeit, ein erzwungener Rückzug vom Arbeitsmarkt, ein häufiger Wechsel zwischen Zeiten von Nichterwerbstätigkeit und Zeiten niedriger Erwerbseinkommen und ungesicherten Arbeitsverhältnissen oft mit anderen sichtbaren Teilhabedefiziten wie geringer Bildung, mangelnder Gesundheitsversorgung, schlechter Lebensqualität etwa durch mangelhafte Güter- und Wohnungsversorgung, einen defizitären Zugang zu Kultur und sozialer Unterstützung sowie defizitären sozialen Beziehungen einher gehen und diese Faktoren sich gegenseitig verstärken.</w:t>
      </w:r>
    </w:p>
    <w:p w:rsidR="007A1EF5" w:rsidRDefault="007A1EF5">
      <w:pPr>
        <w:spacing w:line="360" w:lineRule="auto"/>
        <w:outlineLvl w:val="2"/>
        <w:rPr>
          <w:rFonts w:ascii="Calibri" w:hAnsi="Calibri" w:cs="Arial"/>
          <w:highlight w:val="cyan"/>
        </w:rPr>
      </w:pPr>
    </w:p>
    <w:p w:rsidR="007A1EF5" w:rsidRDefault="007A1EF5">
      <w:pPr>
        <w:numPr>
          <w:ilvl w:val="0"/>
          <w:numId w:val="30"/>
          <w:numberingChange w:id="38" w:author="STV-50-VOGT" w:date="2010-03-17T17:16:00Z" w:original=""/>
        </w:numPr>
        <w:spacing w:line="360" w:lineRule="auto"/>
        <w:outlineLvl w:val="2"/>
        <w:rPr>
          <w:rFonts w:ascii="Calibri" w:hAnsi="Calibri" w:cs="Arial"/>
        </w:rPr>
      </w:pPr>
      <w:r>
        <w:rPr>
          <w:rFonts w:ascii="Calibri" w:hAnsi="Calibri" w:cs="Arial"/>
        </w:rPr>
        <w:t>Entwicklung der Arbeitslosigkeit</w:t>
      </w:r>
    </w:p>
    <w:p w:rsidR="007A1EF5" w:rsidRDefault="007A1EF5">
      <w:pPr>
        <w:spacing w:line="360" w:lineRule="auto"/>
        <w:jc w:val="both"/>
        <w:outlineLvl w:val="2"/>
        <w:rPr>
          <w:rFonts w:ascii="Calibri" w:hAnsi="Calibri" w:cs="Arial"/>
        </w:rPr>
      </w:pPr>
      <w:r>
        <w:rPr>
          <w:rFonts w:ascii="Calibri" w:hAnsi="Calibri" w:cs="Arial"/>
        </w:rPr>
        <w:t>Tabellen 15 und 16 zeigen die Entwicklung der Arbeitslosenzahlen für die Stadt Leverkusen in den letzten fünf Jahren. Dabei wurden bislang zwei unterschiedliche Bemessungsverfahren herangezogen. Der Anteil der Arbeitslosen in Prozent aller abhängig zivilen Erwerbspersonen galt bislang als Berechnungsstandard der Bundesagentur für Arbeit (BA). Erst seit kurzer Zeit hat sich eine Differenzierung ergeben, wonach nun Arbeitslose in Prozent aller zivilen Erwerbspersonen gemessen werden. Aufgrund der verbesserten Datenlage wurde die statistische Berichterstattung der BA mit Beginn des Stichtags 1. Januar 2009 einheitlich auf dieser Basis umgestellt. Statistisch ist darauf hinzuweisen, dass vor Einführung des Zweiten Buchs Sozialgesetzbuch (SGB II) keine erwerbsfähigen Sozialhilfeempfänger in der Arbeitslosenstatistik erfasst worden sind. Zu bedenken ist außerdem bei Betrachtung der vorliegenden Informationen: Die Arbeitslosenquote würde deutlich höher ausfallen, wenn in den letzten Jahren nicht immer mehr Personen durch arbeitsmarktpolitische Maßnahmen (z.B. Arbeitsgelegenheiten, Arbeitsbeschaffungsmaßnahmen, Vorruhestand, Altersübergangsgeld, Altersteilzeit) abgefedert worden wären. Auf diese Weise lässt sich die statistische Differenz zu den Zahlen im Handlungsfeld Einkommen/Einkommensersatzleistungen erklären.</w:t>
      </w:r>
    </w:p>
    <w:tbl>
      <w:tblPr>
        <w:tblW w:w="9653" w:type="dxa"/>
        <w:tblCellMar>
          <w:left w:w="0" w:type="dxa"/>
          <w:right w:w="0" w:type="dxa"/>
        </w:tblCellMar>
        <w:tblLook w:val="00A0"/>
      </w:tblPr>
      <w:tblGrid>
        <w:gridCol w:w="2107"/>
        <w:gridCol w:w="1567"/>
        <w:gridCol w:w="1791"/>
        <w:gridCol w:w="2085"/>
        <w:gridCol w:w="2103"/>
      </w:tblGrid>
      <w:tr w:rsidR="007A1EF5">
        <w:trPr>
          <w:trHeight w:val="379"/>
        </w:trPr>
        <w:tc>
          <w:tcPr>
            <w:tcW w:w="2107" w:type="dxa"/>
            <w:tcBorders>
              <w:top w:val="single" w:sz="8" w:space="0" w:color="4F81BD"/>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bCs/>
                <w:sz w:val="20"/>
                <w:szCs w:val="20"/>
              </w:rPr>
              <w:t xml:space="preserve">Indikator/Stichtag </w:t>
            </w:r>
          </w:p>
        </w:tc>
        <w:tc>
          <w:tcPr>
            <w:tcW w:w="1567" w:type="dxa"/>
            <w:tcBorders>
              <w:top w:val="single" w:sz="8" w:space="0" w:color="4F81BD"/>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bCs/>
                <w:sz w:val="20"/>
                <w:szCs w:val="20"/>
              </w:rPr>
              <w:t xml:space="preserve">Arbeitslose </w:t>
            </w:r>
          </w:p>
        </w:tc>
        <w:tc>
          <w:tcPr>
            <w:tcW w:w="1791" w:type="dxa"/>
            <w:tcBorders>
              <w:top w:val="single" w:sz="8" w:space="0" w:color="4F81BD"/>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bCs/>
                <w:sz w:val="20"/>
                <w:szCs w:val="20"/>
              </w:rPr>
              <w:t xml:space="preserve">Erwerbspersonen </w:t>
            </w:r>
          </w:p>
        </w:tc>
        <w:tc>
          <w:tcPr>
            <w:tcW w:w="2085" w:type="dxa"/>
            <w:tcBorders>
              <w:top w:val="single" w:sz="8" w:space="0" w:color="4F81BD"/>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bCs/>
                <w:sz w:val="20"/>
                <w:szCs w:val="20"/>
              </w:rPr>
              <w:t xml:space="preserve">AL-Quote (alle EWP) </w:t>
            </w:r>
          </w:p>
        </w:tc>
        <w:tc>
          <w:tcPr>
            <w:tcW w:w="2103" w:type="dxa"/>
            <w:tcBorders>
              <w:top w:val="single" w:sz="8" w:space="0" w:color="4F81BD"/>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bCs/>
                <w:sz w:val="20"/>
                <w:szCs w:val="20"/>
              </w:rPr>
              <w:t xml:space="preserve">AL-Quote (abh. EWP) </w:t>
            </w:r>
          </w:p>
        </w:tc>
      </w:tr>
      <w:tr w:rsidR="007A1EF5">
        <w:trPr>
          <w:trHeight w:val="271"/>
        </w:trPr>
        <w:tc>
          <w:tcPr>
            <w:tcW w:w="210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31.12.2004</w:t>
            </w:r>
          </w:p>
        </w:tc>
        <w:tc>
          <w:tcPr>
            <w:tcW w:w="156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8.324 </w:t>
            </w:r>
          </w:p>
        </w:tc>
        <w:tc>
          <w:tcPr>
            <w:tcW w:w="1791"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73.664 (abh) </w:t>
            </w:r>
          </w:p>
        </w:tc>
        <w:tc>
          <w:tcPr>
            <w:tcW w:w="2085"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 </w:t>
            </w:r>
          </w:p>
        </w:tc>
        <w:tc>
          <w:tcPr>
            <w:tcW w:w="2103"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11,3 Prozent </w:t>
            </w:r>
          </w:p>
        </w:tc>
      </w:tr>
      <w:tr w:rsidR="007A1EF5">
        <w:trPr>
          <w:trHeight w:val="271"/>
        </w:trPr>
        <w:tc>
          <w:tcPr>
            <w:tcW w:w="210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31.12.2005 </w:t>
            </w:r>
          </w:p>
        </w:tc>
        <w:tc>
          <w:tcPr>
            <w:tcW w:w="156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10.634 </w:t>
            </w:r>
          </w:p>
        </w:tc>
        <w:tc>
          <w:tcPr>
            <w:tcW w:w="1791"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78.800 (alle) </w:t>
            </w:r>
          </w:p>
        </w:tc>
        <w:tc>
          <w:tcPr>
            <w:tcW w:w="2085"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13,5 Prozent </w:t>
            </w:r>
          </w:p>
        </w:tc>
        <w:tc>
          <w:tcPr>
            <w:tcW w:w="2103"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14,6 Prozent </w:t>
            </w:r>
          </w:p>
        </w:tc>
      </w:tr>
      <w:tr w:rsidR="007A1EF5">
        <w:trPr>
          <w:trHeight w:val="271"/>
        </w:trPr>
        <w:tc>
          <w:tcPr>
            <w:tcW w:w="210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31.12.2006 </w:t>
            </w:r>
          </w:p>
        </w:tc>
        <w:tc>
          <w:tcPr>
            <w:tcW w:w="156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9.768 </w:t>
            </w:r>
          </w:p>
        </w:tc>
        <w:tc>
          <w:tcPr>
            <w:tcW w:w="1791"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80.727 (alle) </w:t>
            </w:r>
          </w:p>
        </w:tc>
        <w:tc>
          <w:tcPr>
            <w:tcW w:w="2085"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12,1 Prozent </w:t>
            </w:r>
          </w:p>
        </w:tc>
        <w:tc>
          <w:tcPr>
            <w:tcW w:w="2103"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13,0 Prozent </w:t>
            </w:r>
          </w:p>
        </w:tc>
      </w:tr>
      <w:tr w:rsidR="007A1EF5">
        <w:trPr>
          <w:trHeight w:val="271"/>
        </w:trPr>
        <w:tc>
          <w:tcPr>
            <w:tcW w:w="210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31.12.2007 </w:t>
            </w:r>
          </w:p>
        </w:tc>
        <w:tc>
          <w:tcPr>
            <w:tcW w:w="1567"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7.901 </w:t>
            </w:r>
          </w:p>
        </w:tc>
        <w:tc>
          <w:tcPr>
            <w:tcW w:w="1791"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82.564 (alle) </w:t>
            </w:r>
          </w:p>
        </w:tc>
        <w:tc>
          <w:tcPr>
            <w:tcW w:w="2085"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9,5 Prozent </w:t>
            </w:r>
          </w:p>
        </w:tc>
        <w:tc>
          <w:tcPr>
            <w:tcW w:w="2103" w:type="dxa"/>
            <w:tcBorders>
              <w:top w:val="nil"/>
              <w:left w:val="nil"/>
              <w:bottom w:val="nil"/>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10,6 Prozent </w:t>
            </w:r>
          </w:p>
        </w:tc>
      </w:tr>
      <w:tr w:rsidR="007A1EF5">
        <w:trPr>
          <w:trHeight w:val="271"/>
        </w:trPr>
        <w:tc>
          <w:tcPr>
            <w:tcW w:w="2107" w:type="dxa"/>
            <w:tcBorders>
              <w:top w:val="nil"/>
              <w:left w:val="nil"/>
              <w:bottom w:val="single" w:sz="8" w:space="0" w:color="4F81BD"/>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31.12.2008 </w:t>
            </w:r>
          </w:p>
        </w:tc>
        <w:tc>
          <w:tcPr>
            <w:tcW w:w="1567" w:type="dxa"/>
            <w:tcBorders>
              <w:top w:val="nil"/>
              <w:left w:val="nil"/>
              <w:bottom w:val="single" w:sz="8" w:space="0" w:color="4F81BD"/>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7.261 </w:t>
            </w:r>
          </w:p>
        </w:tc>
        <w:tc>
          <w:tcPr>
            <w:tcW w:w="1791" w:type="dxa"/>
            <w:tcBorders>
              <w:top w:val="nil"/>
              <w:left w:val="nil"/>
              <w:bottom w:val="single" w:sz="8" w:space="0" w:color="4F81BD"/>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82.145 (alle) </w:t>
            </w:r>
          </w:p>
        </w:tc>
        <w:tc>
          <w:tcPr>
            <w:tcW w:w="2085" w:type="dxa"/>
            <w:tcBorders>
              <w:top w:val="nil"/>
              <w:left w:val="nil"/>
              <w:bottom w:val="single" w:sz="8" w:space="0" w:color="4F81BD"/>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8,8 Prozent </w:t>
            </w:r>
          </w:p>
        </w:tc>
        <w:tc>
          <w:tcPr>
            <w:tcW w:w="2103" w:type="dxa"/>
            <w:tcBorders>
              <w:top w:val="nil"/>
              <w:left w:val="nil"/>
              <w:bottom w:val="single" w:sz="8" w:space="0" w:color="4F81BD"/>
              <w:right w:val="nil"/>
            </w:tcBorders>
            <w:tcMar>
              <w:top w:w="72" w:type="dxa"/>
              <w:left w:w="144" w:type="dxa"/>
              <w:bottom w:w="72" w:type="dxa"/>
              <w:right w:w="144" w:type="dxa"/>
            </w:tcMar>
          </w:tcPr>
          <w:p w:rsidR="007A1EF5" w:rsidRDefault="007A1EF5">
            <w:pPr>
              <w:spacing w:line="360" w:lineRule="auto"/>
              <w:outlineLvl w:val="2"/>
              <w:rPr>
                <w:rFonts w:ascii="Calibri" w:hAnsi="Calibri" w:cs="Arial"/>
                <w:sz w:val="20"/>
                <w:szCs w:val="20"/>
              </w:rPr>
            </w:pPr>
            <w:r>
              <w:rPr>
                <w:rFonts w:ascii="Calibri" w:hAnsi="Calibri" w:cs="Arial"/>
                <w:sz w:val="20"/>
                <w:szCs w:val="20"/>
              </w:rPr>
              <w:t xml:space="preserve">9,8 Prozent </w:t>
            </w:r>
          </w:p>
        </w:tc>
      </w:tr>
    </w:tbl>
    <w:p w:rsidR="007A1EF5" w:rsidRDefault="007A1EF5">
      <w:pPr>
        <w:spacing w:line="360" w:lineRule="auto"/>
        <w:outlineLvl w:val="2"/>
        <w:rPr>
          <w:rFonts w:ascii="Calibri" w:hAnsi="Calibri" w:cs="Arial"/>
          <w:sz w:val="20"/>
          <w:szCs w:val="20"/>
        </w:rPr>
      </w:pPr>
      <w:r>
        <w:rPr>
          <w:noProof/>
        </w:rPr>
        <w:pict>
          <v:shape id="_x0000_s1041" type="#_x0000_t202" style="position:absolute;margin-left:203.15pt;margin-top:12.55pt;width:63pt;height:17.9pt;z-index:251650048;mso-position-horizontal-relative:text;mso-position-vertical-relative:text" filled="f" stroked="f">
            <v:textbox style="mso-next-textbox:#_x0000_s1041">
              <w:txbxContent>
                <w:p w:rsidR="007A1EF5" w:rsidRPr="00931AD9" w:rsidRDefault="007A1EF5">
                  <w:pPr>
                    <w:rPr>
                      <w:sz w:val="16"/>
                      <w:szCs w:val="16"/>
                    </w:rPr>
                  </w:pPr>
                  <w:r w:rsidRPr="00931AD9">
                    <w:rPr>
                      <w:sz w:val="16"/>
                      <w:szCs w:val="16"/>
                    </w:rPr>
                    <w:t>Abbildung</w:t>
                  </w:r>
                  <w:r>
                    <w:rPr>
                      <w:sz w:val="16"/>
                      <w:szCs w:val="16"/>
                    </w:rPr>
                    <w:t xml:space="preserve"> 15</w:t>
                  </w:r>
                </w:p>
              </w:txbxContent>
            </v:textbox>
          </v:shape>
        </w:pict>
      </w:r>
      <w:r>
        <w:rPr>
          <w:rFonts w:ascii="Calibri" w:hAnsi="Calibri" w:cs="Arial"/>
          <w:sz w:val="20"/>
          <w:szCs w:val="20"/>
        </w:rPr>
        <w:t>Datenquelle: Bundesagentur für Arbeit (Arbeitsmarktreport)</w:t>
      </w:r>
    </w:p>
    <w:p w:rsidR="007A1EF5" w:rsidRDefault="007A1EF5">
      <w:pPr>
        <w:spacing w:line="360" w:lineRule="auto"/>
        <w:outlineLvl w:val="2"/>
        <w:rPr>
          <w:rFonts w:ascii="Calibri" w:hAnsi="Calibri" w:cs="Arial"/>
        </w:rPr>
      </w:pPr>
    </w:p>
    <w:p w:rsidR="007A1EF5" w:rsidRDefault="007A1EF5">
      <w:pPr>
        <w:keepNext/>
        <w:spacing w:line="360" w:lineRule="auto"/>
        <w:outlineLvl w:val="2"/>
      </w:pPr>
      <w:r w:rsidRPr="00DD0F19">
        <w:rPr>
          <w:rFonts w:ascii="Calibri" w:hAnsi="Calibri" w:cs="Arial"/>
          <w:noProof/>
        </w:rPr>
        <w:object w:dxaOrig="9006" w:dyaOrig="3293">
          <v:shape id="Diagramm 5" o:spid="_x0000_i1045" type="#_x0000_t75" style="width:342pt;height:165pt;visibility:visible" o:ole="">
            <v:imagedata r:id="rId44" o:title="" cropbottom="-20f"/>
            <o:lock v:ext="edit" aspectratio="f"/>
          </v:shape>
          <o:OLEObject Type="Embed" ProgID="Excel.Chart.8" ShapeID="Diagramm 5" DrawAspect="Content" ObjectID="_1330351646" r:id="rId45"/>
        </w:object>
      </w:r>
    </w:p>
    <w:p w:rsidR="007A1EF5" w:rsidRDefault="007A1EF5">
      <w:pPr>
        <w:pStyle w:val="Caption"/>
        <w:rPr>
          <w:rFonts w:ascii="Calibri" w:hAnsi="Calibri" w:cs="Arial"/>
          <w:b w:val="0"/>
          <w:color w:val="auto"/>
        </w:rPr>
      </w:pPr>
      <w:r>
        <w:rPr>
          <w:noProof/>
        </w:rPr>
        <w:pict>
          <v:shape id="_x0000_s1042" type="#_x0000_t202" style="position:absolute;margin-left:167.15pt;margin-top:16.75pt;width:63pt;height:17.9pt;z-index:251651072" filled="f" stroked="f">
            <v:textbox style="mso-next-textbox:#_x0000_s1042">
              <w:txbxContent>
                <w:p w:rsidR="007A1EF5" w:rsidRPr="00931AD9" w:rsidRDefault="007A1EF5">
                  <w:pPr>
                    <w:rPr>
                      <w:sz w:val="16"/>
                      <w:szCs w:val="16"/>
                    </w:rPr>
                  </w:pPr>
                  <w:r w:rsidRPr="00931AD9">
                    <w:rPr>
                      <w:b/>
                      <w:bCs/>
                      <w:sz w:val="16"/>
                      <w:szCs w:val="16"/>
                    </w:rPr>
                    <w:t>Abbildung</w:t>
                  </w:r>
                  <w:r>
                    <w:rPr>
                      <w:sz w:val="16"/>
                      <w:szCs w:val="16"/>
                    </w:rPr>
                    <w:t xml:space="preserve"> </w:t>
                  </w:r>
                  <w:r w:rsidRPr="00931AD9">
                    <w:rPr>
                      <w:sz w:val="16"/>
                      <w:szCs w:val="16"/>
                    </w:rPr>
                    <w:t>1</w:t>
                  </w:r>
                  <w:r>
                    <w:rPr>
                      <w:sz w:val="16"/>
                      <w:szCs w:val="16"/>
                    </w:rPr>
                    <w:t>6</w:t>
                  </w:r>
                </w:p>
              </w:txbxContent>
            </v:textbox>
          </v:shape>
        </w:pict>
      </w:r>
      <w:r>
        <w:rPr>
          <w:rFonts w:ascii="Calibri" w:hAnsi="Calibri" w:cs="Arial"/>
          <w:b w:val="0"/>
          <w:color w:val="auto"/>
        </w:rPr>
        <w:t xml:space="preserve">Abbildung </w:t>
      </w:r>
      <w:r>
        <w:rPr>
          <w:rFonts w:ascii="Calibri" w:hAnsi="Calibri" w:cs="Arial"/>
          <w:b w:val="0"/>
          <w:color w:val="auto"/>
        </w:rPr>
        <w:fldChar w:fldCharType="begin"/>
      </w:r>
      <w:r>
        <w:rPr>
          <w:rFonts w:ascii="Calibri" w:hAnsi="Calibri" w:cs="Arial"/>
          <w:b w:val="0"/>
          <w:color w:val="auto"/>
        </w:rPr>
        <w:instrText xml:space="preserve"> SEQ Abbildung \* ARABIC </w:instrText>
      </w:r>
      <w:r>
        <w:rPr>
          <w:rFonts w:ascii="Calibri" w:hAnsi="Calibri" w:cs="Arial"/>
          <w:b w:val="0"/>
          <w:color w:val="auto"/>
        </w:rPr>
        <w:fldChar w:fldCharType="separate"/>
      </w:r>
      <w:r>
        <w:rPr>
          <w:rFonts w:ascii="Calibri" w:hAnsi="Calibri" w:cs="Arial"/>
          <w:b w:val="0"/>
          <w:noProof/>
          <w:color w:val="auto"/>
        </w:rPr>
        <w:t>2</w:t>
      </w:r>
      <w:r>
        <w:rPr>
          <w:rFonts w:ascii="Calibri" w:hAnsi="Calibri" w:cs="Arial"/>
          <w:b w:val="0"/>
          <w:color w:val="auto"/>
        </w:rPr>
        <w:fldChar w:fldCharType="end"/>
      </w:r>
      <w:r>
        <w:rPr>
          <w:rFonts w:ascii="Calibri" w:hAnsi="Calibri" w:cs="Arial"/>
          <w:b w:val="0"/>
          <w:color w:val="auto"/>
        </w:rPr>
        <w:t>: Datenquelle: Bundesagentur für Arbeit (Arbeitsmarktreport)</w:t>
      </w:r>
    </w:p>
    <w:p w:rsidR="007A1EF5" w:rsidRDefault="007A1EF5">
      <w:pPr>
        <w:spacing w:line="360" w:lineRule="auto"/>
        <w:outlineLvl w:val="2"/>
        <w:rPr>
          <w:rFonts w:ascii="Calibri" w:hAnsi="Calibri" w:cs="Arial"/>
        </w:rPr>
      </w:pPr>
    </w:p>
    <w:p w:rsidR="007A1EF5" w:rsidRDefault="007A1EF5">
      <w:pPr>
        <w:spacing w:line="360" w:lineRule="auto"/>
        <w:jc w:val="both"/>
        <w:outlineLvl w:val="2"/>
        <w:rPr>
          <w:rFonts w:ascii="Calibri" w:hAnsi="Calibri" w:cs="Arial"/>
        </w:rPr>
      </w:pPr>
      <w:r>
        <w:rPr>
          <w:rFonts w:ascii="Calibri" w:hAnsi="Calibri" w:cs="Arial"/>
        </w:rPr>
        <w:t>Am 31. Dezember 2008 wurden in Leverkusen etwas mehr als 1.000 erwerbslose Personen weniger registriert als noch vier Jahre zuvor. Die Gesamtzahl aller zivilen Erwerbspersonen ist in demselben Zeitraum um mehr als 3.000 Personen gestiegen. Die Quote der Arbeitslosen an allen zivilen Erwerbspersonen lag am 31. Dezember 2008 allerdings deutlich über dem Landesdurchschnitt (8,1 %). Auch gegenüber der strukturell vergleichbaren Stadt Solingen (8,3 %) war sie höher, dagegen erkennbar unter der Quote der großen Nachbarstadt Köln (10,1 %). Trotz der aktuellen Wirtschaftskrise ist mit einem Anstieg für das Jahr 2009 nicht zu rechnen. Nach Prognosen von Experten werden aufgrund von verzögerten Effekten im Jahr 2010 jedoch mehr Personen erwerbslos werden, sodass die bis dato günstig verlaufende Entwicklung voraussichtlich abgebremst wird (vgl. IHK-Konjunkturbericht Herbst 2009). Bis dahin ist festzustellen, dass nicht nur die Arbeitslosigkeit insgesamt zurückging. Insbesondere auch die Arbeitsmarktsituation besonderer Personengruppen entspannte sich: Aus dem Rechtskreis SGB II fanden mehr Erwerbslose einen neuen Job, womit Leverkusen im Trend liegt. NRW-weit gab es 40.000 weniger Langzeitarbeitslose als im Vorjahr. Junge Menschen, Frauen und ältere Personen erhielten einen besseren Zugang in den allgemeinen Arbeitsmarkt. Die sozialversicherungspflichtige Beschäftigung nahm zu. Besonders unter den erwerbslosen Frauen kann für Leverkusen ein langfristig positiver Trend festgestellt werden. Über den Jahresdurchschnitt 2008 waren 453 Frauen weniger erwerbslos als noch ein Jahr zuvor. Dies bedeutet einen Rückgang der Arbeitslosigkeit um 12 Prozentpunkte. Leverkusen lag damit noch besser als der Landeswert (8,3 Prozentpunkte). Die Arbeitslosenquote unter Frauen lag auf Bemessungsgrundlage aller abhängigen zivilen Erwerbspersonen am 31. Dezember 2008 bei 9,5 Prozent, bei Männern hingegen bei 10,0 Prozent.</w:t>
      </w:r>
    </w:p>
    <w:p w:rsidR="007A1EF5" w:rsidRDefault="007A1EF5">
      <w:pPr>
        <w:spacing w:line="360" w:lineRule="auto"/>
        <w:jc w:val="both"/>
        <w:outlineLvl w:val="2"/>
        <w:rPr>
          <w:rFonts w:ascii="Calibri" w:hAnsi="Calibri" w:cs="Arial"/>
        </w:rPr>
      </w:pPr>
      <w:r>
        <w:rPr>
          <w:rFonts w:ascii="Calibri" w:hAnsi="Calibri" w:cs="Arial"/>
        </w:rPr>
        <w:t>Bei der Jugendarbeitslosigkeit steht Leverkusen mit einer Quote an allen Arbeitslosen von 10,1 Prozent deutlich schlechter dar als der landesweite Mittelwert (9,4 Prozent). Damit liegt der Wert in Leverkusen nahezu doppelt so hoch wie in Köln und sogar fast dreimal so hoch wie in Düsseldorf. Die Arbeitslosenquote auf Basis aller abhängigen Erwerbspersonen unter 25 Jahren lag am 31. Dezember 2008 bei 8,3 Prozent. Wenngleich immerhin nur 90 junge Erwachsene weniger als noch ein Jahr zuvor ohne sozialversicherungspflichtige Arbeit waren, so sank der Anteil stärker als im Landesschnitt. Besonders auffällig ist jedoch, dass nach BA-Angaben immerhin jeder vierte junge erwerbslose Erwachsene der Statistik im Rechtskreis des Zweiten Buches Sozialgesetzbuch zufiel. Bei den älteren Arbeitslosen liegt Leverkusen im Trend. Insbesondere sie zählen zur Personengruppe, die nur sehr geringe Chancen hat, auf eine berufliche Integration in den allgemeinen Arbeitsmarkt.</w:t>
      </w:r>
    </w:p>
    <w:p w:rsidR="007A1EF5" w:rsidRDefault="007A1EF5">
      <w:pPr>
        <w:spacing w:line="360" w:lineRule="auto"/>
        <w:jc w:val="both"/>
        <w:outlineLvl w:val="2"/>
        <w:rPr>
          <w:rFonts w:ascii="Calibri" w:hAnsi="Calibri" w:cs="Arial"/>
        </w:rPr>
      </w:pPr>
      <w:r>
        <w:rPr>
          <w:rFonts w:ascii="Calibri" w:hAnsi="Calibri" w:cs="Arial"/>
        </w:rPr>
        <w:t>Im Besonderen besteht ein Handlungsbedarf bei Personen mit ausländischer Staatsangehörigkeit, wobei wie auch bei der Bevölkerungsstatistik hier aufgrund statistisch nicht feststellbarer Zuwanderungsgeschichte mit einer noch deutlich verschärfteren Lage zu rechnen ist. Jeder vierte Erwerbslose verfügte über eine ausländische Staatsangehörigkeit. Bei den unter 25-jährigen Leverkusenern galt dies für jeden Fünften.</w:t>
      </w:r>
    </w:p>
    <w:p w:rsidR="007A1EF5" w:rsidRDefault="007A1EF5">
      <w:pPr>
        <w:spacing w:line="360" w:lineRule="auto"/>
        <w:jc w:val="both"/>
        <w:outlineLvl w:val="2"/>
        <w:rPr>
          <w:rFonts w:ascii="Calibri" w:hAnsi="Calibri" w:cs="Arial"/>
        </w:rPr>
      </w:pPr>
      <w:r>
        <w:rPr>
          <w:rFonts w:ascii="Calibri" w:hAnsi="Calibri" w:cs="Arial"/>
        </w:rPr>
        <w:t>Die drohende Verschlechterung der Arbeitsmarktsituation kündigen vor allem zwei Trends an. Erstens: Die Zahl der Erwerbslosen im Rechtskreis des Dritten Buchs Sozialgesetzbuch (SGB III, Leistungen der Arbeitsförderung) nahm insgesamt zu. Diese Entwicklung ist darauf zurückzuführen, dass konjunkturbedingt entlassene Arbeitnehmer in der Regel zunächst Ansprüche auf Arbeitslosengeld I haben. Auch für Leverkusen deuten die jüngsten Arbeitsmarktzahlen auf eine Negativentwicklung hin, wenngleich in absoluten Zahlen noch ein Rückgang der Arbeitslosigkeit auch im SGB III verzeichnet werden kann. Von der Gesamtzahl der Erwerbslosen in Leverkusen befanden sich zum Stichtag 31. Dezember 2008 68 Prozent (Vorjahr: 70 Prozent) im Rechtskreis des SGB II und 32 % (Vorjahr: 30 %) im Rechtskreis des SGB III. Zweitens: Die Stellenangebote der privaten Wirtschaft, mit Ausnahme der Gesundheits- und Sozialbranche, gingen deutlich zurück. Auch für Leverkusen lässt sich dieser Rückgang bereits feststellen. Die Zahl der gemeldeten nicht öffentlich geförderten Stellen sank gegenüber dem Vorjahr um 40 Prozent. Hinzu kommt eine „kosmetische Korrektur“ in der Statistik. Erwerbslose, die von privaten Vermittlern bei der Jobsuche betreut werden, werden in der Arbeitslosenstatistik der Bundesagentur für Arbeit nicht mehr erfasst.</w:t>
      </w:r>
    </w:p>
    <w:p w:rsidR="007A1EF5" w:rsidRDefault="007A1EF5">
      <w:pPr>
        <w:spacing w:line="360" w:lineRule="auto"/>
        <w:jc w:val="both"/>
        <w:rPr>
          <w:rFonts w:ascii="Calibri" w:hAnsi="Calibri" w:cs="Arial"/>
        </w:rPr>
      </w:pPr>
      <w:r>
        <w:rPr>
          <w:rFonts w:ascii="Calibri" w:hAnsi="Calibri" w:cs="Arial"/>
        </w:rPr>
        <w:t>Die Statistik erteilt auch eingeschränkte Auskunft über die Gründe, warum Arbeitslosigkeit eingetreten ist. Daraus lassen sich Aussagen über Trends ableiten. Im Jahr 2008 sind nach Angaben der BA immerhin 5.981 Personen als neue Erwerbslose registriert worden. Von diesen Personen fielen 2.119 dem SGB II zu. Bei dieser Bevölkerungsgruppe handelte es sich vielfach um Personen, die keine ausreichenden Ansprüche auf Arbeitslosengeld I erworben haben. Besonders dramatisch ist jedoch, dass immerhin 2.900 Zugänge aus einer Ausbildung erfolgten. Im Vergleich zu anderen Städten ähnlicher Arbeitsmarktstruktur steht Leverkusen zwar noch besser dar (Solingen: 3.394 erwerbslose Meldungen im Anschluss an die Ausbildung). Jedoch verfügten immerhin 1.665 von ihnen über keine ausreichenden Beiträge zur Arbeitslosenversicherung und fielen unmittelbar dem SGB II zu. Aus Nichterwerbstätigkeit erfolgten schließlich im Verlauf des Jahres 4.809 Zugänge, 3.031 davon im Bereich des SGB II. Ein weiteres Problem stellt der hohe Anteil Langzeitarbeitsloser an allen Leverkusener Erwerbslosen dar. Als langzeitarbeitslos gelten Personen, die zum jeweiligen Stichtag länger als zwölf Monate arbeitslos waren. Zum Stichtag 30. Juni 2008 betrug der Anteil Langzeitarbeitsloser in Leverkusen 44,6 Prozent und lag damit gegenüber dem Bundesdurchschnitt etwa um 5 Prozentpunkte höher. Dies zeigt, dass Arbeitslosigkeit in Leverkusen vielfach strukturelle Ursachen hat und dass konjunkturelle Ereignisse die Entwicklung eher mäßig beeinflussen.</w:t>
      </w:r>
    </w:p>
    <w:p w:rsidR="007A1EF5" w:rsidRDefault="007A1EF5">
      <w:pPr>
        <w:spacing w:line="360" w:lineRule="auto"/>
        <w:rPr>
          <w:rFonts w:ascii="Calibri" w:hAnsi="Calibri" w:cs="Arial"/>
          <w:highlight w:val="red"/>
        </w:rPr>
      </w:pPr>
    </w:p>
    <w:p w:rsidR="007A1EF5" w:rsidRDefault="007A1EF5">
      <w:pPr>
        <w:spacing w:line="360" w:lineRule="auto"/>
        <w:rPr>
          <w:rFonts w:ascii="Calibri" w:hAnsi="Calibri" w:cs="Arial"/>
        </w:rPr>
      </w:pPr>
      <w:r>
        <w:rPr>
          <w:rFonts w:ascii="Calibri" w:hAnsi="Calibri" w:cs="Arial"/>
        </w:rPr>
        <w:t>Übersicht: Erwerbslose Männer</w:t>
      </w:r>
    </w:p>
    <w:tbl>
      <w:tblPr>
        <w:tblW w:w="0" w:type="auto"/>
        <w:tblBorders>
          <w:top w:val="single" w:sz="8" w:space="0" w:color="C0504D"/>
          <w:bottom w:val="single" w:sz="8" w:space="0" w:color="C0504D"/>
        </w:tblBorders>
        <w:tblLook w:val="0000"/>
      </w:tblPr>
      <w:tblGrid>
        <w:gridCol w:w="4605"/>
        <w:gridCol w:w="4605"/>
      </w:tblGrid>
      <w:tr w:rsidR="007A1EF5">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Anzahl im Jahresdurchschnitt 2008</w:t>
            </w:r>
          </w:p>
        </w:tc>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4.065 Personen</w:t>
            </w:r>
          </w:p>
        </w:tc>
      </w:tr>
      <w:tr w:rsidR="007A1EF5">
        <w:tc>
          <w:tcPr>
            <w:tcW w:w="4605" w:type="dxa"/>
          </w:tcPr>
          <w:p w:rsidR="007A1EF5" w:rsidRDefault="007A1EF5">
            <w:pPr>
              <w:spacing w:line="360" w:lineRule="auto"/>
              <w:rPr>
                <w:rFonts w:ascii="Calibri" w:hAnsi="Calibri" w:cs="Arial"/>
              </w:rPr>
            </w:pPr>
            <w:r>
              <w:rPr>
                <w:rFonts w:ascii="Calibri" w:hAnsi="Calibri" w:cs="Arial"/>
              </w:rPr>
              <w:t>Unter allen erwerbslosen Männern mit ausländischer Staatsangehörigkeit</w:t>
            </w:r>
          </w:p>
        </w:tc>
        <w:tc>
          <w:tcPr>
            <w:tcW w:w="4605" w:type="dxa"/>
          </w:tcPr>
          <w:p w:rsidR="007A1EF5" w:rsidRDefault="007A1EF5">
            <w:pPr>
              <w:spacing w:line="360" w:lineRule="auto"/>
              <w:rPr>
                <w:rFonts w:ascii="Calibri" w:hAnsi="Calibri" w:cs="Arial"/>
              </w:rPr>
            </w:pPr>
            <w:r>
              <w:rPr>
                <w:rFonts w:ascii="Calibri" w:hAnsi="Calibri" w:cs="Arial"/>
              </w:rPr>
              <w:t>1.070 Personen (26,3 Prozent)</w:t>
            </w:r>
          </w:p>
        </w:tc>
      </w:tr>
      <w:tr w:rsidR="007A1EF5">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Unter allen erwerbslosen Männern im Alter von 15 bis 25 Jahre</w:t>
            </w:r>
          </w:p>
        </w:tc>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471 Personen (11,6 Prozent)</w:t>
            </w:r>
          </w:p>
        </w:tc>
      </w:tr>
    </w:tbl>
    <w:p w:rsidR="007A1EF5" w:rsidRDefault="007A1EF5">
      <w:pPr>
        <w:spacing w:line="360" w:lineRule="auto"/>
        <w:rPr>
          <w:rFonts w:ascii="Calibri" w:hAnsi="Calibri" w:cs="Arial"/>
        </w:rPr>
      </w:pPr>
      <w:r>
        <w:rPr>
          <w:noProof/>
        </w:rPr>
        <w:pict>
          <v:shape id="_x0000_s1043" type="#_x0000_t202" style="position:absolute;margin-left:185.15pt;margin-top:2pt;width:63pt;height:17.9pt;z-index:251652096;mso-position-horizontal-relative:text;mso-position-vertical-relative:text" filled="f" stroked="f">
            <v:textbox style="mso-next-textbox:#_x0000_s1043">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7</w:t>
                  </w:r>
                </w:p>
              </w:txbxContent>
            </v:textbox>
          </v:shape>
        </w:pic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Übersicht: Erwerbslose Frauen</w:t>
      </w:r>
    </w:p>
    <w:tbl>
      <w:tblPr>
        <w:tblW w:w="0" w:type="auto"/>
        <w:tblBorders>
          <w:top w:val="single" w:sz="8" w:space="0" w:color="C0504D"/>
          <w:bottom w:val="single" w:sz="8" w:space="0" w:color="C0504D"/>
        </w:tblBorders>
        <w:tblLook w:val="0000"/>
      </w:tblPr>
      <w:tblGrid>
        <w:gridCol w:w="4605"/>
        <w:gridCol w:w="4605"/>
      </w:tblGrid>
      <w:tr w:rsidR="007A1EF5">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Anzahl im Jahresdurchschnitt 2008</w:t>
            </w:r>
          </w:p>
        </w:tc>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3.328 Personen</w:t>
            </w:r>
          </w:p>
        </w:tc>
      </w:tr>
      <w:tr w:rsidR="007A1EF5">
        <w:tc>
          <w:tcPr>
            <w:tcW w:w="4605" w:type="dxa"/>
          </w:tcPr>
          <w:p w:rsidR="007A1EF5" w:rsidRDefault="007A1EF5">
            <w:pPr>
              <w:spacing w:line="360" w:lineRule="auto"/>
              <w:rPr>
                <w:rFonts w:ascii="Calibri" w:hAnsi="Calibri" w:cs="Arial"/>
              </w:rPr>
            </w:pPr>
            <w:r>
              <w:rPr>
                <w:rFonts w:ascii="Calibri" w:hAnsi="Calibri" w:cs="Arial"/>
              </w:rPr>
              <w:t>Unter allen erwerbslosen Frauen mit ausländischer Staatsangehörigkeit</w:t>
            </w:r>
          </w:p>
        </w:tc>
        <w:tc>
          <w:tcPr>
            <w:tcW w:w="4605" w:type="dxa"/>
          </w:tcPr>
          <w:p w:rsidR="007A1EF5" w:rsidRDefault="007A1EF5">
            <w:pPr>
              <w:spacing w:line="360" w:lineRule="auto"/>
              <w:rPr>
                <w:rFonts w:ascii="Calibri" w:hAnsi="Calibri" w:cs="Arial"/>
              </w:rPr>
            </w:pPr>
            <w:r>
              <w:rPr>
                <w:rFonts w:ascii="Calibri" w:hAnsi="Calibri" w:cs="Arial"/>
              </w:rPr>
              <w:t>902 Personen (27,1 Prozent)</w:t>
            </w:r>
          </w:p>
        </w:tc>
      </w:tr>
      <w:tr w:rsidR="007A1EF5">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Unter allen erwerbslosen Frauen im Alter von 15 bis 25 Jahre</w:t>
            </w:r>
          </w:p>
        </w:tc>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367 Personen (11,0 Prozent)</w:t>
            </w:r>
          </w:p>
        </w:tc>
      </w:tr>
    </w:tbl>
    <w:p w:rsidR="007A1EF5" w:rsidRDefault="007A1EF5">
      <w:pPr>
        <w:spacing w:line="360" w:lineRule="auto"/>
        <w:outlineLvl w:val="2"/>
        <w:rPr>
          <w:rFonts w:ascii="Calibri" w:hAnsi="Calibri" w:cs="Arial"/>
          <w:highlight w:val="cyan"/>
        </w:rPr>
      </w:pPr>
      <w:r>
        <w:rPr>
          <w:noProof/>
        </w:rPr>
        <w:pict>
          <v:shape id="_x0000_s1044" type="#_x0000_t202" style="position:absolute;margin-left:194.15pt;margin-top:4.4pt;width:63pt;height:17.9pt;z-index:251653120;mso-position-horizontal-relative:text;mso-position-vertical-relative:text" filled="f" stroked="f">
            <v:textbox style="mso-next-textbox:#_x0000_s1044">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8</w:t>
                  </w:r>
                </w:p>
              </w:txbxContent>
            </v:textbox>
          </v:shape>
        </w:pict>
      </w:r>
    </w:p>
    <w:p w:rsidR="007A1EF5" w:rsidRDefault="007A1EF5">
      <w:pPr>
        <w:spacing w:line="360" w:lineRule="auto"/>
        <w:rPr>
          <w:rFonts w:ascii="Calibri" w:hAnsi="Calibri" w:cs="Arial"/>
        </w:rPr>
      </w:pPr>
      <w:r>
        <w:rPr>
          <w:rFonts w:ascii="Calibri" w:hAnsi="Calibri" w:cs="Arial"/>
        </w:rPr>
        <w:t>Übersicht: Altersstruktur unter Erwerbslosen</w:t>
      </w:r>
    </w:p>
    <w:tbl>
      <w:tblPr>
        <w:tblW w:w="0" w:type="auto"/>
        <w:tblBorders>
          <w:top w:val="single" w:sz="8" w:space="0" w:color="C0504D"/>
          <w:bottom w:val="single" w:sz="8" w:space="0" w:color="C0504D"/>
        </w:tblBorders>
        <w:tblLook w:val="0000"/>
      </w:tblPr>
      <w:tblGrid>
        <w:gridCol w:w="4605"/>
        <w:gridCol w:w="4605"/>
      </w:tblGrid>
      <w:tr w:rsidR="007A1EF5">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Anzahl der Erwerbslosen im Jahresdurchschnitt 2008 15 bis 25 Jahre alt</w:t>
            </w:r>
          </w:p>
        </w:tc>
        <w:tc>
          <w:tcPr>
            <w:tcW w:w="4605" w:type="dxa"/>
            <w:tcBorders>
              <w:top w:val="single" w:sz="8" w:space="0" w:color="C0504D"/>
            </w:tcBorders>
          </w:tcPr>
          <w:p w:rsidR="007A1EF5" w:rsidRDefault="007A1EF5">
            <w:pPr>
              <w:spacing w:line="360" w:lineRule="auto"/>
              <w:rPr>
                <w:rFonts w:ascii="Calibri" w:hAnsi="Calibri" w:cs="Arial"/>
              </w:rPr>
            </w:pPr>
            <w:r>
              <w:rPr>
                <w:rFonts w:ascii="Calibri" w:hAnsi="Calibri" w:cs="Arial"/>
              </w:rPr>
              <w:t>750 Personen (10,1 Prozent)</w:t>
            </w:r>
          </w:p>
        </w:tc>
      </w:tr>
      <w:tr w:rsidR="007A1EF5">
        <w:tc>
          <w:tcPr>
            <w:tcW w:w="4605" w:type="dxa"/>
          </w:tcPr>
          <w:p w:rsidR="007A1EF5" w:rsidRDefault="007A1EF5">
            <w:pPr>
              <w:spacing w:line="360" w:lineRule="auto"/>
              <w:rPr>
                <w:rFonts w:ascii="Calibri" w:hAnsi="Calibri" w:cs="Arial"/>
              </w:rPr>
            </w:pPr>
            <w:r>
              <w:rPr>
                <w:rFonts w:ascii="Calibri" w:hAnsi="Calibri" w:cs="Arial"/>
              </w:rPr>
              <w:t>Anzahl im der Erwerbslosen im Jahresdurchschnitt 2008 unter 20 Jahre alt</w:t>
            </w:r>
          </w:p>
        </w:tc>
        <w:tc>
          <w:tcPr>
            <w:tcW w:w="4605" w:type="dxa"/>
          </w:tcPr>
          <w:p w:rsidR="007A1EF5" w:rsidRDefault="007A1EF5">
            <w:pPr>
              <w:spacing w:line="360" w:lineRule="auto"/>
              <w:rPr>
                <w:rFonts w:ascii="Calibri" w:hAnsi="Calibri" w:cs="Arial"/>
              </w:rPr>
            </w:pPr>
            <w:r>
              <w:rPr>
                <w:rFonts w:ascii="Calibri" w:hAnsi="Calibri" w:cs="Arial"/>
              </w:rPr>
              <w:t>161 Personen (2,2 Prozent)</w:t>
            </w:r>
          </w:p>
        </w:tc>
      </w:tr>
      <w:tr w:rsidR="007A1EF5">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Anzahl der Erwerbslosen im Jahresdurchschnitt 2008 50 bis 65 Jahre alt</w:t>
            </w:r>
          </w:p>
          <w:p w:rsidR="007A1EF5" w:rsidRDefault="007A1EF5">
            <w:pPr>
              <w:spacing w:line="360" w:lineRule="auto"/>
              <w:rPr>
                <w:rFonts w:ascii="Calibri" w:hAnsi="Calibri" w:cs="Arial"/>
              </w:rPr>
            </w:pPr>
            <w:r>
              <w:rPr>
                <w:noProof/>
              </w:rPr>
              <w:pict>
                <v:shape id="_x0000_s1045" type="#_x0000_t202" style="position:absolute;margin-left:199.55pt;margin-top:44.25pt;width:63pt;height:17.9pt;z-index:251654144" filled="f" stroked="f">
                  <v:textbox style="mso-next-textbox:#_x0000_s1045">
                    <w:txbxContent>
                      <w:p w:rsidR="007A1EF5" w:rsidRPr="00931AD9" w:rsidRDefault="007A1EF5">
                        <w:pPr>
                          <w:rPr>
                            <w:sz w:val="16"/>
                            <w:szCs w:val="16"/>
                          </w:rPr>
                        </w:pPr>
                        <w:r w:rsidRPr="00931AD9">
                          <w:rPr>
                            <w:sz w:val="16"/>
                            <w:szCs w:val="16"/>
                          </w:rPr>
                          <w:t>Abbildung</w:t>
                        </w:r>
                        <w:r>
                          <w:rPr>
                            <w:sz w:val="16"/>
                            <w:szCs w:val="16"/>
                          </w:rPr>
                          <w:t xml:space="preserve"> </w:t>
                        </w:r>
                        <w:r w:rsidRPr="00931AD9">
                          <w:rPr>
                            <w:sz w:val="16"/>
                            <w:szCs w:val="16"/>
                          </w:rPr>
                          <w:t>1</w:t>
                        </w:r>
                        <w:r>
                          <w:rPr>
                            <w:sz w:val="16"/>
                            <w:szCs w:val="16"/>
                          </w:rPr>
                          <w:t>9</w:t>
                        </w:r>
                      </w:p>
                    </w:txbxContent>
                  </v:textbox>
                </v:shape>
              </w:pict>
            </w:r>
            <w:r>
              <w:rPr>
                <w:rFonts w:ascii="Calibri" w:hAnsi="Calibri" w:cs="Arial"/>
              </w:rPr>
              <w:t>Anzahl der Erwerbslosen im Jahresdurchschnitt 2008 über 65 Jahre alt</w:t>
            </w:r>
          </w:p>
        </w:tc>
        <w:tc>
          <w:tcPr>
            <w:tcW w:w="4605" w:type="dxa"/>
            <w:tcBorders>
              <w:bottom w:val="single" w:sz="8" w:space="0" w:color="C0504D"/>
            </w:tcBorders>
          </w:tcPr>
          <w:p w:rsidR="007A1EF5" w:rsidRDefault="007A1EF5">
            <w:pPr>
              <w:spacing w:line="360" w:lineRule="auto"/>
              <w:rPr>
                <w:rFonts w:ascii="Calibri" w:hAnsi="Calibri" w:cs="Arial"/>
              </w:rPr>
            </w:pPr>
            <w:r>
              <w:rPr>
                <w:rFonts w:ascii="Calibri" w:hAnsi="Calibri" w:cs="Arial"/>
              </w:rPr>
              <w:t>1.881 Personen (25,4 Prozent)</w:t>
            </w:r>
          </w:p>
          <w:p w:rsidR="007A1EF5" w:rsidRDefault="007A1EF5">
            <w:pPr>
              <w:spacing w:line="360" w:lineRule="auto"/>
              <w:rPr>
                <w:rFonts w:ascii="Calibri" w:hAnsi="Calibri" w:cs="Arial"/>
              </w:rPr>
            </w:pPr>
          </w:p>
          <w:p w:rsidR="007A1EF5" w:rsidRDefault="007A1EF5">
            <w:pPr>
              <w:spacing w:line="360" w:lineRule="auto"/>
              <w:rPr>
                <w:rFonts w:ascii="Calibri" w:hAnsi="Calibri" w:cs="Arial"/>
              </w:rPr>
            </w:pPr>
            <w:r>
              <w:rPr>
                <w:rFonts w:ascii="Calibri" w:hAnsi="Calibri" w:cs="Arial"/>
              </w:rPr>
              <w:t>1.054 Personen (14,3 Prozent)</w:t>
            </w:r>
          </w:p>
        </w:tc>
      </w:tr>
    </w:tbl>
    <w:p w:rsidR="007A1EF5" w:rsidRDefault="007A1EF5">
      <w:pPr>
        <w:spacing w:line="360" w:lineRule="auto"/>
        <w:outlineLvl w:val="2"/>
        <w:rPr>
          <w:rFonts w:ascii="Calibri" w:hAnsi="Calibri" w:cs="Arial"/>
          <w:highlight w:val="cyan"/>
        </w:rPr>
      </w:pPr>
    </w:p>
    <w:p w:rsidR="007A1EF5" w:rsidRDefault="007A1EF5">
      <w:pPr>
        <w:spacing w:line="360" w:lineRule="auto"/>
        <w:jc w:val="both"/>
        <w:outlineLvl w:val="2"/>
        <w:rPr>
          <w:rFonts w:ascii="Calibri" w:hAnsi="Calibri" w:cs="Arial"/>
          <w:highlight w:val="red"/>
        </w:rPr>
      </w:pPr>
      <w:r>
        <w:rPr>
          <w:rFonts w:ascii="Calibri" w:hAnsi="Calibri" w:cs="Arial"/>
        </w:rPr>
        <w:t>Zum Zwecke einer möglichst umfassenden Ursachenerforschung bietet es sich auch aus kommunaler Sicht an, künftig qualitative kleinräumige Analysen von Arbeitslosigkeit durchzuführen, um Zusammenhänge mit anderen Handlungsfeldern sozialer Teilhabe zu untersuchen. Derartige Daten können aus den vielfältigen Statistiken der Bundesagentur für Arbeit hergeleitet werden. Beispielhaft für den Nutzen einer solchen näheren Betrachtung kann anhand der Feststellung, in welchen Stadtteilen ein Anteil Langzeitarbeitsloser besonders hoch ist, ein deutlich überproportionaler Bedarf für beschäftigungsfördernde Aktivitäten definiert werden. Derartige Analysen können künftig dabei helfen, die eingesetzten finanziellen Mittel an die richtige Stelle zu lenken. Als ein weiteres Beispiel für gesamtstädtische Differenzierung bei der Untersuchung der strukturellen Situation im Handlungsfeld Arbeit und Wirtschaft besteht mit Blick darauf, dass unter Bildungsplanung eine „lebenslange“ Bildungsplanung zu verstehen ist, ein Interesse daran zu erfahren, wie hoch der Anteil erwerbsloser Personen ohne Berufsabschluss ist. Hauptbetroffene von Arbeitslosigkeit sind nach den Daten der Arbeitslosenstatistik insbesondere Erwerbspersonen mit geringer Qualifikation. Umso stärkere Bedeutung erhalten daher die Bemühungen der Stadt Leverkusen zur Entwicklung einer Bildungslandschaft, genauso wie die erfolgreiche Etablierung des Campus Leverkusen. Im Wege der Sozialberichterstattung derartige Informationen zu erfassen, eröffnet Politik, Verwaltung und sozialen Diensten die Möglichkeit, Lösungsansätze für Problemlagen unmittelbar mit Bezug auf sozio-strukturelle Rahmenbedingungen zu entwickeln und damit die Wirkung von Maßnahmen durch kontinuierliche Beobachtung deutlich zu erhöhen.</w:t>
      </w:r>
    </w:p>
    <w:p w:rsidR="007A1EF5" w:rsidRDefault="007A1EF5">
      <w:pPr>
        <w:spacing w:line="360" w:lineRule="auto"/>
        <w:rPr>
          <w:rFonts w:ascii="Calibri" w:hAnsi="Calibri" w:cs="Arial"/>
          <w:highlight w:val="red"/>
        </w:rPr>
      </w:pPr>
    </w:p>
    <w:p w:rsidR="007A1EF5" w:rsidRDefault="007A1EF5">
      <w:pPr>
        <w:numPr>
          <w:ilvl w:val="0"/>
          <w:numId w:val="33"/>
          <w:numberingChange w:id="39" w:author="STV-50-VOGT" w:date="2010-03-17T17:16:00Z" w:original=""/>
        </w:numPr>
        <w:spacing w:line="360" w:lineRule="auto"/>
        <w:rPr>
          <w:rFonts w:ascii="Calibri" w:hAnsi="Calibri" w:cs="Arial"/>
        </w:rPr>
      </w:pPr>
      <w:r>
        <w:rPr>
          <w:rFonts w:ascii="Calibri" w:hAnsi="Calibri" w:cs="Arial"/>
        </w:rPr>
        <w:t>Erwerbsbeteiligung</w:t>
      </w:r>
    </w:p>
    <w:p w:rsidR="007A1EF5" w:rsidRDefault="007A1EF5">
      <w:pPr>
        <w:spacing w:line="360" w:lineRule="auto"/>
        <w:jc w:val="both"/>
        <w:rPr>
          <w:rFonts w:ascii="Calibri" w:hAnsi="Calibri" w:cs="Arial"/>
        </w:rPr>
      </w:pPr>
      <w:r>
        <w:rPr>
          <w:rFonts w:ascii="Calibri" w:hAnsi="Calibri" w:cs="Arial"/>
        </w:rPr>
        <w:t>Wie aus den vorangehenden Zahlen deutlich wurde, ist ein hohes Niveau an Arbeitslosen ist nicht gleichzusetzen mit einem Rückgang der Erwerbspersonen. Im Gegenteil ist die Gesamtzahl der Erwerbspersonen (Erwerbstätige und Erwerbslose) in Leverkusen in den letzten fünf Jahren angestiegen. Der Zuwachs der Erwerbsbeteiligung ist vor allem auf Zuwanderung, eine stärkere Erwerbsneigung von Frauen und eine Zunahme neuer Beschäftigungsformen bei gleichzeitigem Rückgang sozialversicherungspflichtiger Vollzeitarbeitsplätze zurückzuführen (vgl. Heinz 2005, S. 113 ff.). Gerade unter ausländischen Frauen ist aus volkswirtschaftlicher Sicht positiv anzumerken, dass immer mehr von ihnen eine Erwerbsneigung aufweisen (vgl. Zuwanderungsstatistik NRW 2006, S. 134 ff.). Einschränkend muss jedoch darauf hingewiesen werden, dass ein Großteil von ihnen nicht den Zugang in eine sozialversicherungspflichtige Erwerbstätigkeit gefunden hat.</w:t>
      </w:r>
    </w:p>
    <w:p w:rsidR="007A1EF5" w:rsidRDefault="007A1EF5">
      <w:pPr>
        <w:spacing w:line="360" w:lineRule="auto"/>
        <w:jc w:val="both"/>
        <w:rPr>
          <w:rFonts w:ascii="Calibri" w:hAnsi="Calibri" w:cs="Arial"/>
        </w:rPr>
      </w:pPr>
      <w:r>
        <w:rPr>
          <w:rFonts w:ascii="Calibri" w:hAnsi="Calibri" w:cs="Arial"/>
        </w:rPr>
        <w:t>Denn gegenüber einem leichten Anstieg des Erwerbspersonenpotenzials deutlich zurückgegangen ist die Anzahl der sozialversicherungspflichtig Beschäftigten am Arbeits- und Wohnort Leverkusen. Laut Beschäftigungsstatistik standen Ende 2008 am Arbeitsort Leverkusen 58.600 Personen in einem sozialversicherungspflichtigen Beschäftigungsverhältnis. Das waren knapp 4.000 Beschäftigte weniger als noch fünf Jahre zuvor. Demgegenüber waren am Wohnort Leverkusen zum gleichen Zeitpunkt fast 5.000 weniger sozialversicherungspflichtig Beschäftigte zu verzeichnen als am Arbeitsort. Einigen Schwankungen unterworfen, sank die Zahl damit nur leicht. Die von der Bundesagentur für Arbeit ermittelte Beschäftigungsquote bezogen auf die wohnberechtigte Bevölkerung betrug zum Stichtag 30. Juni 2007 51,1 Prozent, womit Leverkusen zwar den Spitzenplatz unter Städten vergleichbarer struktureller Bedingungen einnahm. Allerdings gilt die Stadt im Cluster der Städte als Raum mit unterdurchschnittlicher Arbeitslage und einem hohen Anteil an Langzeitarbeitslosen.</w:t>
      </w:r>
    </w:p>
    <w:p w:rsidR="007A1EF5" w:rsidRDefault="007A1EF5">
      <w:pPr>
        <w:spacing w:line="360" w:lineRule="auto"/>
        <w:jc w:val="both"/>
        <w:rPr>
          <w:rFonts w:ascii="Calibri" w:hAnsi="Calibri" w:cs="Arial"/>
        </w:rPr>
      </w:pPr>
    </w:p>
    <w:p w:rsidR="007A1EF5" w:rsidRPr="00931AD9" w:rsidRDefault="007A1EF5" w:rsidP="00931AD9">
      <w:pPr>
        <w:pStyle w:val="ListParagraph"/>
        <w:spacing w:line="360" w:lineRule="auto"/>
        <w:ind w:left="0"/>
        <w:jc w:val="both"/>
        <w:rPr>
          <w:rFonts w:ascii="Calibri" w:hAnsi="Calibri"/>
        </w:rPr>
      </w:pPr>
      <w:r w:rsidRPr="00931AD9">
        <w:rPr>
          <w:rFonts w:ascii="Calibri" w:hAnsi="Calibri"/>
        </w:rPr>
        <w:t>Die Erwerbsbeteiligung von Männern ist - trotz der zumeist besseren Ausbildung von Frauen (siehe S. 62ff.) - noch immer ungleich höher. So liegt die Erwerbstätigkeit (je 100 der Bevölkerung zwischen 15 und 65 Jahren) in Leverkusen bei Frauen bei 66,1; bei Männern bei 88,9. An diesem Punkt besteht dringender Handlungsbedarf. Denn die Arbeitsmarktintegration von Frauen ist der Schlüssel der sozialen und ökonomischen Integration, mit der ein Beitrag zur Modernisierung von Geschlechterverhältnissen geleistet werden kann.</w:t>
      </w:r>
      <w:r>
        <w:rPr>
          <w:rStyle w:val="FootnoteReference"/>
          <w:rFonts w:ascii="Calibri" w:hAnsi="Calibri"/>
        </w:rPr>
        <w:footnoteReference w:id="3"/>
      </w:r>
      <w:r w:rsidRPr="00931AD9">
        <w:rPr>
          <w:rFonts w:ascii="Calibri" w:hAnsi="Calibri"/>
        </w:rPr>
        <w:t xml:space="preserve"> </w:t>
      </w:r>
    </w:p>
    <w:p w:rsidR="007A1EF5" w:rsidRPr="00931AD9" w:rsidRDefault="007A1EF5" w:rsidP="00931AD9">
      <w:pPr>
        <w:pStyle w:val="ListParagraph"/>
        <w:spacing w:line="360" w:lineRule="auto"/>
        <w:ind w:left="0"/>
        <w:jc w:val="both"/>
        <w:rPr>
          <w:rFonts w:ascii="Calibri" w:hAnsi="Calibri"/>
        </w:rPr>
      </w:pPr>
      <w:r w:rsidRPr="00931AD9">
        <w:rPr>
          <w:rFonts w:ascii="Calibri" w:hAnsi="Calibri"/>
        </w:rPr>
        <w:t>Trotzdem lässt sich ein leicht positiver Trend feststellen, denn die Vergleichszahlen (Bund) liegen bei 65,8 für Frauen und 77,3 für Männer. Die Daten entstammen dem Gender-Index bzw. der laufenden Raumbeobachtung des BBSR.</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p>
    <w:p w:rsidR="007A1EF5" w:rsidRDefault="007A1EF5">
      <w:pPr>
        <w:spacing w:line="360" w:lineRule="auto"/>
        <w:jc w:val="both"/>
        <w:outlineLvl w:val="2"/>
        <w:rPr>
          <w:rFonts w:ascii="Calibri" w:hAnsi="Calibri" w:cs="Arial"/>
          <w:color w:val="000000"/>
        </w:rPr>
      </w:pPr>
      <w:r>
        <w:rPr>
          <w:rFonts w:ascii="Calibri" w:hAnsi="Calibri" w:cs="Arial"/>
        </w:rPr>
        <w:t xml:space="preserve">Die Bedeutung der Stadt Leverkusen als Arbeitsstandort für Berufspendler ist nach wie vor enorm hoch. </w:t>
      </w:r>
      <w:r>
        <w:rPr>
          <w:rFonts w:ascii="Calibri" w:hAnsi="Calibri" w:cs="Arial"/>
          <w:color w:val="000000"/>
        </w:rPr>
        <w:t>Dies deutet darauf hin, dass das Angebot an sozialversicherungspflichtigen Arbeitsplätzen das Angebot an Arbeitskräften übersteigt. Gegenüber dem Basisjahr 1999 hat dieses sich jedoch deutlich verringert, da sich bei der Zahl der Auspendler nach Informationen des Arbeitsmarktatlas für Kommunen der Agentur für Arbeit eine Steigerung um 24,3 Prozent ergibt.</w:t>
      </w:r>
    </w:p>
    <w:p w:rsidR="007A1EF5" w:rsidRDefault="007A1EF5">
      <w:pPr>
        <w:spacing w:line="360" w:lineRule="auto"/>
        <w:jc w:val="both"/>
        <w:outlineLvl w:val="2"/>
        <w:rPr>
          <w:rFonts w:ascii="Calibri" w:hAnsi="Calibri" w:cs="Arial"/>
          <w:color w:val="000000"/>
        </w:rPr>
      </w:pPr>
    </w:p>
    <w:p w:rsidR="007A1EF5" w:rsidRDefault="007A1EF5">
      <w:pPr>
        <w:spacing w:line="360" w:lineRule="auto"/>
        <w:jc w:val="both"/>
        <w:outlineLvl w:val="2"/>
        <w:rPr>
          <w:rFonts w:ascii="Calibri" w:hAnsi="Calibri" w:cs="Arial"/>
          <w:color w:val="000000"/>
        </w:rPr>
      </w:pPr>
      <w:r>
        <w:rPr>
          <w:noProof/>
        </w:rPr>
        <w:pict>
          <v:shape id="_x0000_s1046" type="#_x0000_t202" style="position:absolute;left:0;text-align:left;margin-left:203.15pt;margin-top:230.55pt;width:63pt;height:17.9pt;z-index:251655168" filled="f" stroked="f">
            <v:textbox style="mso-next-textbox:#_x0000_s1046">
              <w:txbxContent>
                <w:p w:rsidR="007A1EF5" w:rsidRPr="00931AD9" w:rsidRDefault="007A1EF5">
                  <w:pPr>
                    <w:rPr>
                      <w:sz w:val="16"/>
                      <w:szCs w:val="16"/>
                    </w:rPr>
                  </w:pPr>
                  <w:r w:rsidRPr="00931AD9">
                    <w:rPr>
                      <w:sz w:val="16"/>
                      <w:szCs w:val="16"/>
                    </w:rPr>
                    <w:t>Abbildung</w:t>
                  </w:r>
                  <w:r>
                    <w:rPr>
                      <w:sz w:val="16"/>
                      <w:szCs w:val="16"/>
                    </w:rPr>
                    <w:t xml:space="preserve"> 20</w:t>
                  </w:r>
                </w:p>
              </w:txbxContent>
            </v:textbox>
          </v:shape>
        </w:pict>
      </w:r>
      <w:r w:rsidRPr="00DD0F19">
        <w:rPr>
          <w:rFonts w:ascii="Calibri" w:hAnsi="Calibri" w:cs="Arial"/>
          <w:noProof/>
          <w:color w:val="000000"/>
        </w:rPr>
        <w:object w:dxaOrig="9102" w:dyaOrig="4541">
          <v:shape id="_x0000_i1046" type="#_x0000_t75" style="width:455.25pt;height:227.25pt;visibility:visible" o:ole="">
            <v:imagedata r:id="rId46" o:title="" cropbottom="-58f"/>
            <o:lock v:ext="edit" aspectratio="f"/>
          </v:shape>
          <o:OLEObject Type="Embed" ProgID="Excel.Chart.8" ShapeID="_x0000_i1046" DrawAspect="Content" ObjectID="_1330351647" r:id="rId47"/>
        </w:object>
      </w:r>
    </w:p>
    <w:p w:rsidR="007A1EF5" w:rsidRDefault="007A1EF5">
      <w:pPr>
        <w:spacing w:line="360" w:lineRule="auto"/>
        <w:jc w:val="both"/>
        <w:outlineLvl w:val="2"/>
        <w:rPr>
          <w:rFonts w:ascii="Calibri" w:hAnsi="Calibri" w:cs="Arial"/>
          <w:color w:val="000000"/>
        </w:rPr>
      </w:pPr>
    </w:p>
    <w:p w:rsidR="007A1EF5" w:rsidRDefault="007A1EF5">
      <w:pPr>
        <w:spacing w:line="360" w:lineRule="auto"/>
        <w:jc w:val="both"/>
        <w:outlineLvl w:val="2"/>
        <w:rPr>
          <w:rFonts w:ascii="Calibri" w:hAnsi="Calibri" w:cs="Arial"/>
          <w:color w:val="000000"/>
        </w:rPr>
      </w:pPr>
      <w:r>
        <w:rPr>
          <w:rFonts w:ascii="Calibri" w:hAnsi="Calibri" w:cs="Arial"/>
          <w:color w:val="000000"/>
        </w:rPr>
        <w:t xml:space="preserve">Unterentwickelt ist in Leverkusen der Anteil der Fachhochschul- und Hochschulabsolventen unter den sozialversicherungspflichtig Beschäftigten, der zwar in den Jahren 1999 bis 2008 um immerhin 3 Prozentpunkte stieg, aber heute mit 13,5 Prozent immer noch deutlich unter dem Vergleichswert anderer Großstädte liegt. </w:t>
      </w:r>
    </w:p>
    <w:p w:rsidR="007A1EF5" w:rsidRDefault="007A1EF5">
      <w:pPr>
        <w:spacing w:line="360" w:lineRule="auto"/>
        <w:jc w:val="both"/>
        <w:outlineLvl w:val="2"/>
        <w:rPr>
          <w:rFonts w:ascii="Calibri" w:hAnsi="Calibri" w:cs="Arial"/>
          <w:color w:val="000000"/>
        </w:rPr>
      </w:pPr>
    </w:p>
    <w:p w:rsidR="007A1EF5" w:rsidRPr="00931AD9" w:rsidRDefault="007A1EF5" w:rsidP="00931AD9">
      <w:pPr>
        <w:spacing w:line="360" w:lineRule="auto"/>
        <w:rPr>
          <w:rFonts w:ascii="Calibri" w:hAnsi="Calibri"/>
        </w:rPr>
      </w:pPr>
      <w:r w:rsidRPr="00931AD9">
        <w:rPr>
          <w:rFonts w:ascii="Calibri" w:hAnsi="Calibri"/>
        </w:rPr>
        <w:t xml:space="preserve">Differenziert man die Fach(hoch)schul- und Hochschulabsolventen unter den sozialversicherungspflichtig Beschäftigten nach Geschlecht, ergibt sich auch hier eine überproportional höhere Erwerbsbeteiligung von Männern, denn der Anteil (je 100 der Bevölkerung zwischen 15 und 65 Jahren) von Frauen lag 2007 in Leverkusen bei 4,1; der Anteil von Männern bei 10,7. Trotz ihres höheren Bildungsniveaus sind Frauen demzufolge signifikant seltener auf dem Arbeitsmarkt vertreten. </w:t>
      </w:r>
    </w:p>
    <w:p w:rsidR="007A1EF5" w:rsidRPr="00931AD9" w:rsidRDefault="007A1EF5" w:rsidP="00931AD9">
      <w:pPr>
        <w:spacing w:line="360" w:lineRule="auto"/>
        <w:rPr>
          <w:rFonts w:ascii="Calibri" w:hAnsi="Calibri"/>
        </w:rPr>
      </w:pPr>
      <w:r w:rsidRPr="00931AD9">
        <w:rPr>
          <w:rFonts w:ascii="Calibri" w:hAnsi="Calibri"/>
        </w:rPr>
        <w:t>In diesem Kontext sind noch viele Diskussionen über entsprechende Handlungsmöglichkeiten notwendig, die nicht nur Kinderbetreuung in den Blick nehmen, sondern auch beispielsweise die Wirtschaftspolitik dazu anregen, über Veränderungen und neue Perspektiven für die Arbeitsnachfrage nachzudenken.</w:t>
      </w:r>
      <w:r>
        <w:rPr>
          <w:rStyle w:val="FootnoteReference"/>
          <w:rFonts w:ascii="Calibri" w:hAnsi="Calibri"/>
        </w:rPr>
        <w:footnoteReference w:id="4"/>
      </w:r>
    </w:p>
    <w:p w:rsidR="007A1EF5" w:rsidRDefault="007A1EF5">
      <w:pPr>
        <w:spacing w:line="360" w:lineRule="auto"/>
        <w:jc w:val="both"/>
        <w:outlineLvl w:val="2"/>
        <w:rPr>
          <w:rFonts w:ascii="Calibri" w:hAnsi="Calibri" w:cs="Arial"/>
          <w:color w:val="000000"/>
        </w:rPr>
      </w:pPr>
    </w:p>
    <w:p w:rsidR="007A1EF5" w:rsidRDefault="007A1EF5">
      <w:pPr>
        <w:spacing w:line="360" w:lineRule="auto"/>
        <w:jc w:val="both"/>
        <w:outlineLvl w:val="2"/>
        <w:rPr>
          <w:rFonts w:ascii="Calibri" w:hAnsi="Calibri" w:cs="Arial"/>
        </w:rPr>
      </w:pPr>
      <w:r>
        <w:rPr>
          <w:rFonts w:ascii="Calibri" w:hAnsi="Calibri" w:cs="Arial"/>
          <w:color w:val="000000"/>
        </w:rPr>
        <w:t xml:space="preserve">Mit dem CampusLeverkusen der Fachhochschule Köln wird bereits eine Antwort auf den festzustellenden Mangel an Akademikerinnen und Akademikern in der Stadt gegeben. Die Wirtschaftsförderung Leverkusen wird sich in den nächsten Jahren verstärkt um sogenannte hochentwickelte Fokusbranchen etwa im Bereich der Kunststoffproduktion kümmern, die hoch qualifiziertes Personal erfordern. Und schließlich stellt das Thema Existenzgründung einen wichtigen Faktor bei der künftigen Entwicklung des Leverkusener Arbeits- und Wirtschaftsmarkts dar. Der Industriesektor ist in Leverkusen nach wie vor „gefühlt“ </w:t>
      </w:r>
      <w:r>
        <w:rPr>
          <w:rFonts w:ascii="Calibri" w:hAnsi="Calibri" w:cs="Arial"/>
        </w:rPr>
        <w:t>ein wichtiger Faktor für Wohlstand. Das sogenannte Industrieeinkommen ist als Messgröße geeignet, um dieses „Gefühl“ zu bestätigen. Die Produktivität am Wirtschaftsstandort Leverkusen ist enorm hoch. Beim Industrieeinkommen wird ein direkter Zusammenhang von betrieblicher Produktivität auf der einen Seite und Löhnen und Gehältern auf der anderen Seite gesehen. Anhand des Industrieeinkommens lässt sich die Qualität die Arbeitsplätze in der Industrie beschreiben. Zieht man den Anteil der Arbeitsplätze im produzierenden Gewerbe heran, der momentan bei 36,3 Prozent liegt, so erhält man einen aussagekräftigen Wert über die qualitative und quantitative Bedeutung der Industrie. Die Lohn- und Gehaltssumme in der Industrie dividiert durch die Beschäftigten in der Industrie ergibt in Leverkusen ein durchschnittlich erzieltes Industrieeinkommen von 4.201 Euro (Bundesamt für Bauwesen und Raumordnung). Mit diesem ausgezeichneten Wert liegt Leverkusen im bundesweiten Ranking von 439 Kreisen und kreisfreien Städten auf Platz 6 und übertrifft den Landesdurchschnitt von 3.217 Euro bzw. Bundesdurchschnitt von 3.105 Euro bei weitem.</w:t>
      </w:r>
    </w:p>
    <w:p w:rsidR="007A1EF5" w:rsidRDefault="007A1EF5">
      <w:pPr>
        <w:spacing w:line="360" w:lineRule="auto"/>
        <w:rPr>
          <w:rFonts w:ascii="Calibri" w:hAnsi="Calibri" w:cs="Arial"/>
        </w:rPr>
      </w:pPr>
    </w:p>
    <w:p w:rsidR="007A1EF5" w:rsidRDefault="007A1EF5">
      <w:pPr>
        <w:numPr>
          <w:ilvl w:val="0"/>
          <w:numId w:val="34"/>
          <w:numberingChange w:id="40" w:author="STV-50-VOGT" w:date="2010-03-17T17:16:00Z" w:original=""/>
        </w:numPr>
        <w:spacing w:line="360" w:lineRule="auto"/>
        <w:rPr>
          <w:rFonts w:ascii="Calibri" w:hAnsi="Calibri" w:cs="Arial"/>
        </w:rPr>
      </w:pPr>
      <w:r>
        <w:rPr>
          <w:rFonts w:ascii="Calibri" w:hAnsi="Calibri" w:cs="Arial"/>
        </w:rPr>
        <w:t>prekäre Beschäftigung</w:t>
      </w:r>
    </w:p>
    <w:p w:rsidR="007A1EF5" w:rsidRDefault="007A1EF5" w:rsidP="00931AD9">
      <w:pPr>
        <w:spacing w:line="360" w:lineRule="auto"/>
        <w:rPr>
          <w:rFonts w:ascii="Calibri" w:hAnsi="Calibri"/>
        </w:rPr>
      </w:pPr>
      <w:r w:rsidRPr="00C70FEA">
        <w:rPr>
          <w:rFonts w:ascii="Calibri" w:hAnsi="Calibri" w:cs="Arial"/>
        </w:rPr>
        <w:t xml:space="preserve">Der insgesamt deutliche Rückgang von sozialversicherungspflichtigen Vollzeitarbeitsplätzen kann lediglich quantitativ durch neue Formen von Beschäftigung kompensiert werden. Teilzeitstellen, Leiharbeitsplätze und Minijobs werden dabei überwiegend von Frauen eingenommen. </w:t>
      </w:r>
      <w:r w:rsidRPr="00931AD9">
        <w:rPr>
          <w:rFonts w:ascii="Calibri" w:hAnsi="Calibri"/>
        </w:rPr>
        <w:t>Der Frauenanteil bei geringfügig entlohnten Beschäftigungsverhältnissen ist deutlich höher als der Anteil der Männer. So lag 2007 der Anteil der Frauen in geringfügig entlohnten Beschäftigungsverhältnissen (je 100 der Bevölkerung zwischen 15 und 65) bei 15,3; bei Männern hingegen lediglich bei 8,0. Die Daten sind dem Gender-Index bzw. der laufenden Raumbeobachtung des BBSR entnommen.</w:t>
      </w:r>
    </w:p>
    <w:p w:rsidR="007A1EF5" w:rsidRPr="00931AD9" w:rsidRDefault="007A1EF5" w:rsidP="00931AD9">
      <w:pPr>
        <w:spacing w:line="360" w:lineRule="auto"/>
        <w:rPr>
          <w:rFonts w:ascii="Calibri" w:hAnsi="Calibri"/>
        </w:rPr>
      </w:pPr>
    </w:p>
    <w:p w:rsidR="007A1EF5" w:rsidRDefault="007A1EF5">
      <w:pPr>
        <w:spacing w:line="360" w:lineRule="auto"/>
        <w:jc w:val="both"/>
        <w:rPr>
          <w:rFonts w:ascii="Calibri" w:hAnsi="Calibri" w:cs="Arial"/>
        </w:rPr>
      </w:pPr>
      <w:r>
        <w:rPr>
          <w:rFonts w:ascii="Calibri" w:hAnsi="Calibri" w:cs="Arial"/>
        </w:rPr>
        <w:t>Quantitative Angaben über Beschäftigungsverhältnisse sagen allerdings nichts über Qualität und Umfang dieser Beschäftigungen aus. Damit einher geht die strukturelle Entkoppelung von Arbeitslosigkeit und Beschäftigungsentwicklung im Sinne von wirtschaftlicher Existenzsicherung. Kontinuierliche Erwerbsbiografien und sogenannte Normalarbeitsverhältnisse sind statistisch nachweisbar in den letzten 20 Jahren erodiert. Flexiblere, unsichere Beschäftigungsformen wie Teilzeitarbeit, befristete Zeit- oder Leiharbeit, Minijobs und geförderte Beschäftigungsformen gewinnen demgegenüber an Bedeutung. Einen Eindruck von den Folgen erhält man am Besten, wenn man sich vor Augen führt, dass 1970 noch 84 Prozent aller abhängig Beschäftigten über unbefristete Vollzeitverträge verfügten, 1995 waren es 68 Prozent und 2006 nur noch 53 Prozent (vgl. Heinz 2005, S. 115). Eine Teilerklärung dafür, wie die hohe Erwerbsbeteiligung, die rückläufige Quote sozialversicherungspflichtiger Beschäftigung mit der im Handlungsfeld Einkommen aufgezeigten Spreizung von Einkommensklassen zusammenpassen, bietet die gegenüber der sozialversicherungspflichtigen Arbeit antiproportionale Entwicklung der geringfügigen Beschäftigung. Hier ist Arbeitsmarktstatistiken zufolge sowohl am Wohn- als auch am Arbeitsort Leverkusen ein deutlicher Anstieg von Minijobs zu erkennen. Besonders deutlich wird das Missverhältnis beim Anstieg der Nebenjobs, die zusätzlich zum Regelerwerb ausgeübt werden. Ihre Anzahl verdoppelte sich allein in den letzten fünf Jahren.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noProof/>
        </w:rPr>
        <w:pict>
          <v:shape id="_x0000_s1047" type="#_x0000_t202" style="position:absolute;left:0;text-align:left;margin-left:194.15pt;margin-top:236.7pt;width:63pt;height:17.9pt;z-index:251682816" filled="f" stroked="f">
            <v:textbox style="mso-next-textbox:#_x0000_s1047">
              <w:txbxContent>
                <w:p w:rsidR="007A1EF5" w:rsidRPr="00931AD9" w:rsidRDefault="007A1EF5">
                  <w:pPr>
                    <w:rPr>
                      <w:sz w:val="16"/>
                      <w:szCs w:val="16"/>
                    </w:rPr>
                  </w:pPr>
                  <w:r w:rsidRPr="00931AD9">
                    <w:rPr>
                      <w:sz w:val="16"/>
                      <w:szCs w:val="16"/>
                    </w:rPr>
                    <w:t>Abbildung</w:t>
                  </w:r>
                  <w:r>
                    <w:rPr>
                      <w:sz w:val="16"/>
                      <w:szCs w:val="16"/>
                    </w:rPr>
                    <w:t xml:space="preserve"> 21</w:t>
                  </w:r>
                </w:p>
              </w:txbxContent>
            </v:textbox>
          </v:shape>
        </w:pict>
      </w:r>
      <w:r w:rsidRPr="00DD0F19">
        <w:rPr>
          <w:rFonts w:ascii="Calibri" w:hAnsi="Calibri" w:cs="Arial"/>
          <w:noProof/>
        </w:rPr>
        <w:object w:dxaOrig="9102" w:dyaOrig="4541">
          <v:shape id="_x0000_i1047" type="#_x0000_t75" style="width:455.25pt;height:227.25pt;visibility:visible" o:ole="">
            <v:imagedata r:id="rId48" o:title="" cropbottom="-58f"/>
            <o:lock v:ext="edit" aspectratio="f"/>
          </v:shape>
          <o:OLEObject Type="Embed" ProgID="Excel.Chart.8" ShapeID="_x0000_i1047" DrawAspect="Content" ObjectID="_1330351648" r:id="rId49"/>
        </w:objec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noProof/>
        </w:rPr>
        <w:pict>
          <v:shape id="_x0000_s1048" type="#_x0000_t202" style="position:absolute;left:0;text-align:left;margin-left:203.15pt;margin-top:236.05pt;width:63pt;height:17.9pt;z-index:251656192" filled="f" stroked="f">
            <v:textbox style="mso-next-textbox:#_x0000_s1048">
              <w:txbxContent>
                <w:p w:rsidR="007A1EF5" w:rsidRPr="00931AD9" w:rsidRDefault="007A1EF5">
                  <w:pPr>
                    <w:rPr>
                      <w:sz w:val="16"/>
                      <w:szCs w:val="16"/>
                    </w:rPr>
                  </w:pPr>
                  <w:r w:rsidRPr="00931AD9">
                    <w:rPr>
                      <w:sz w:val="16"/>
                      <w:szCs w:val="16"/>
                    </w:rPr>
                    <w:t>Abbildung</w:t>
                  </w:r>
                  <w:r>
                    <w:rPr>
                      <w:sz w:val="16"/>
                      <w:szCs w:val="16"/>
                    </w:rPr>
                    <w:t xml:space="preserve"> 22</w:t>
                  </w:r>
                </w:p>
              </w:txbxContent>
            </v:textbox>
          </v:shape>
        </w:pict>
      </w:r>
      <w:r w:rsidRPr="00DD0F19">
        <w:rPr>
          <w:rFonts w:ascii="Calibri" w:hAnsi="Calibri" w:cs="Arial"/>
          <w:noProof/>
        </w:rPr>
        <w:object w:dxaOrig="9102" w:dyaOrig="4541">
          <v:shape id="_x0000_i1048" type="#_x0000_t75" style="width:455.25pt;height:227.25pt;visibility:visible" o:ole="">
            <v:imagedata r:id="rId50" o:title="" cropbottom="-58f"/>
            <o:lock v:ext="edit" aspectratio="f"/>
          </v:shape>
          <o:OLEObject Type="Embed" ProgID="Excel.Chart.8" ShapeID="_x0000_i1048" DrawAspect="Content" ObjectID="_1330351649" r:id="rId51"/>
        </w:objec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Damit steht fest, dass der Lebensstandard von Beschäftigten sich rapide von der Wirtschafts- und Wohlstandsentwicklung entkoppelt. Denn zugenommen hat damit die Zahl sogenannter Niedriglohnempfänger.</w:t>
      </w:r>
    </w:p>
    <w:p w:rsidR="007A1EF5" w:rsidRDefault="007A1EF5">
      <w:pPr>
        <w:spacing w:line="360" w:lineRule="auto"/>
        <w:jc w:val="both"/>
        <w:rPr>
          <w:rFonts w:ascii="Calibri" w:hAnsi="Calibri" w:cs="Arial"/>
        </w:rPr>
      </w:pPr>
      <w:r>
        <w:rPr>
          <w:rFonts w:ascii="Calibri" w:hAnsi="Calibri" w:cs="Arial"/>
        </w:rPr>
        <w:t xml:space="preserve">Viele von ihnen sind auch auf ergänzende Sozialleistungen angewiesen. </w:t>
      </w:r>
    </w:p>
    <w:p w:rsidR="007A1EF5" w:rsidRDefault="007A1EF5" w:rsidP="00931AD9">
      <w:pPr>
        <w:spacing w:line="360" w:lineRule="auto"/>
        <w:jc w:val="both"/>
      </w:pPr>
      <w:r w:rsidRPr="00931AD9">
        <w:rPr>
          <w:rFonts w:ascii="Calibri" w:hAnsi="Calibri"/>
          <w:color w:val="000000"/>
        </w:rPr>
        <w:t>So ist bei der Zahl der Erwerbstätigen mit einem Bruttoeinkommen von über 400 €, die sich gleichzeitig auch im Leistungsbezug des Arbeitslosengeldes II befinden, in den letzten Jahren auch in Leverkusen eine ansteigende Tendenz festzustellen</w:t>
      </w:r>
      <w:r>
        <w:t>.</w:t>
      </w:r>
    </w:p>
    <w:p w:rsidR="007A1EF5" w:rsidRDefault="007A1EF5"/>
    <w:p w:rsidR="007A1EF5" w:rsidRDefault="007A1EF5"/>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303"/>
        <w:gridCol w:w="2303"/>
        <w:gridCol w:w="2303"/>
        <w:gridCol w:w="2303"/>
      </w:tblGrid>
      <w:tr w:rsidR="007A1EF5">
        <w:tc>
          <w:tcPr>
            <w:tcW w:w="2303" w:type="dxa"/>
          </w:tcPr>
          <w:p w:rsidR="007A1EF5" w:rsidRDefault="007A1EF5"/>
        </w:tc>
        <w:tc>
          <w:tcPr>
            <w:tcW w:w="2303" w:type="dxa"/>
          </w:tcPr>
          <w:p w:rsidR="007A1EF5" w:rsidRDefault="007A1EF5">
            <w:r>
              <w:t>09/2007</w:t>
            </w:r>
          </w:p>
        </w:tc>
        <w:tc>
          <w:tcPr>
            <w:tcW w:w="2303" w:type="dxa"/>
          </w:tcPr>
          <w:p w:rsidR="007A1EF5" w:rsidRDefault="007A1EF5">
            <w:r>
              <w:t>09/2008</w:t>
            </w:r>
          </w:p>
        </w:tc>
        <w:tc>
          <w:tcPr>
            <w:tcW w:w="2303" w:type="dxa"/>
          </w:tcPr>
          <w:p w:rsidR="007A1EF5" w:rsidRDefault="007A1EF5">
            <w:r>
              <w:t>09/2009</w:t>
            </w:r>
          </w:p>
        </w:tc>
      </w:tr>
      <w:tr w:rsidR="007A1EF5">
        <w:tc>
          <w:tcPr>
            <w:tcW w:w="2303" w:type="dxa"/>
          </w:tcPr>
          <w:p w:rsidR="007A1EF5" w:rsidRDefault="007A1EF5">
            <w:r>
              <w:t>Erwerbsfähige Hilfebedürftige</w:t>
            </w:r>
          </w:p>
        </w:tc>
        <w:tc>
          <w:tcPr>
            <w:tcW w:w="2303" w:type="dxa"/>
          </w:tcPr>
          <w:p w:rsidR="007A1EF5" w:rsidRDefault="007A1EF5">
            <w:r>
              <w:t>10.659</w:t>
            </w:r>
          </w:p>
        </w:tc>
        <w:tc>
          <w:tcPr>
            <w:tcW w:w="2303" w:type="dxa"/>
          </w:tcPr>
          <w:p w:rsidR="007A1EF5" w:rsidRDefault="007A1EF5">
            <w:r>
              <w:t>10.417</w:t>
            </w:r>
          </w:p>
        </w:tc>
        <w:tc>
          <w:tcPr>
            <w:tcW w:w="2303" w:type="dxa"/>
          </w:tcPr>
          <w:p w:rsidR="007A1EF5" w:rsidRDefault="007A1EF5">
            <w:r>
              <w:t>10.620</w:t>
            </w:r>
          </w:p>
        </w:tc>
      </w:tr>
      <w:tr w:rsidR="007A1EF5">
        <w:tc>
          <w:tcPr>
            <w:tcW w:w="2303" w:type="dxa"/>
          </w:tcPr>
          <w:p w:rsidR="007A1EF5" w:rsidRDefault="007A1EF5">
            <w:r>
              <w:t>Erwerbstätige Leistungsbezieher über 400 €</w:t>
            </w:r>
          </w:p>
        </w:tc>
        <w:tc>
          <w:tcPr>
            <w:tcW w:w="2303" w:type="dxa"/>
          </w:tcPr>
          <w:p w:rsidR="007A1EF5" w:rsidRDefault="007A1EF5">
            <w:r>
              <w:t>1.055</w:t>
            </w:r>
          </w:p>
        </w:tc>
        <w:tc>
          <w:tcPr>
            <w:tcW w:w="2303" w:type="dxa"/>
          </w:tcPr>
          <w:p w:rsidR="007A1EF5" w:rsidRDefault="007A1EF5">
            <w:r>
              <w:t>1.128</w:t>
            </w:r>
          </w:p>
        </w:tc>
        <w:tc>
          <w:tcPr>
            <w:tcW w:w="2303" w:type="dxa"/>
          </w:tcPr>
          <w:p w:rsidR="007A1EF5" w:rsidRDefault="007A1EF5">
            <w:r>
              <w:t>1.188</w:t>
            </w:r>
          </w:p>
        </w:tc>
      </w:tr>
      <w:tr w:rsidR="007A1EF5">
        <w:tc>
          <w:tcPr>
            <w:tcW w:w="2303" w:type="dxa"/>
          </w:tcPr>
          <w:p w:rsidR="007A1EF5" w:rsidRDefault="007A1EF5">
            <w:r>
              <w:t>In %</w:t>
            </w:r>
          </w:p>
        </w:tc>
        <w:tc>
          <w:tcPr>
            <w:tcW w:w="2303" w:type="dxa"/>
          </w:tcPr>
          <w:p w:rsidR="007A1EF5" w:rsidRDefault="007A1EF5">
            <w:r>
              <w:t>9,9</w:t>
            </w:r>
          </w:p>
        </w:tc>
        <w:tc>
          <w:tcPr>
            <w:tcW w:w="2303" w:type="dxa"/>
          </w:tcPr>
          <w:p w:rsidR="007A1EF5" w:rsidRDefault="007A1EF5">
            <w:r>
              <w:t>10,9</w:t>
            </w:r>
          </w:p>
        </w:tc>
        <w:tc>
          <w:tcPr>
            <w:tcW w:w="2303" w:type="dxa"/>
          </w:tcPr>
          <w:p w:rsidR="007A1EF5" w:rsidRDefault="007A1EF5">
            <w:r>
              <w:t>11,2</w:t>
            </w:r>
          </w:p>
        </w:tc>
      </w:tr>
    </w:tbl>
    <w:p w:rsidR="007A1EF5" w:rsidRDefault="007A1EF5">
      <w:r>
        <w:rPr>
          <w:noProof/>
        </w:rPr>
        <w:pict>
          <v:shape id="_x0000_s1049" type="#_x0000_t202" style="position:absolute;margin-left:194.15pt;margin-top:12.15pt;width:63pt;height:17.9pt;z-index:251657216;mso-position-horizontal-relative:text;mso-position-vertical-relative:text" filled="f" stroked="f">
            <v:textbox style="mso-next-textbox:#_x0000_s1049">
              <w:txbxContent>
                <w:p w:rsidR="007A1EF5" w:rsidRPr="00931AD9" w:rsidRDefault="007A1EF5">
                  <w:pPr>
                    <w:rPr>
                      <w:sz w:val="16"/>
                      <w:szCs w:val="16"/>
                    </w:rPr>
                  </w:pPr>
                  <w:r w:rsidRPr="00931AD9">
                    <w:rPr>
                      <w:sz w:val="16"/>
                      <w:szCs w:val="16"/>
                    </w:rPr>
                    <w:t>Abbildung</w:t>
                  </w:r>
                  <w:r>
                    <w:rPr>
                      <w:sz w:val="16"/>
                      <w:szCs w:val="16"/>
                    </w:rPr>
                    <w:t xml:space="preserve"> 23</w:t>
                  </w:r>
                </w:p>
              </w:txbxContent>
            </v:textbox>
          </v:shape>
        </w:pict>
      </w:r>
      <w:r>
        <w:t>(Zahlen für Leverkusen aus der Statistik der Bundesagentur für Arbeit)</w:t>
      </w:r>
    </w:p>
    <w:p w:rsidR="007A1EF5" w:rsidRDefault="007A1EF5"/>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Zunahme unsicherer, häufig schlecht entlohnter Arbeits- und Beschäftigungsverhältnisse wird häufig mit dem Begriff der Prekarisierung von Erwerbsarbeit (Pierre Bourdieu) beschrieben. Damit einher geht die Spaltung der Arbeitsgesellschaft in unterschiedliche Sicherheitszonen: erstens in eine Zone der Integration mit Normalarbeitsverhältnissen und halbwegs intakten sozialen Beziehungen, zweitens in eine Zone der unsicheren Beschäftigung bei erodierenden sozialen Netzen sowie drittens in eine Zone der Ausgrenzung, in der sich Gruppen ohne reale Chance auf eine Integration in den sogenannten allgemeinen Arbeitsmarkt befinden. Prekäre Beschäftigungsverhältnisse bedeuten nicht nur berufliche Unsicherheit, ungünstige Arbeitsbedingungen und materiellen Mangel, sie kennzeichnen auch eine Lebenslage, die durch Anerkennungsdefizite, eine Schwächung der Zugehörigkeit zu sozialen Netzen und durch abnehmende Möglichkeiten einer längerfristigen Lebensplanung geprägt ist (vgl. Heinz 2005, S. 123). Die „Lohnarmut“ von heute führt perspektivisch zu einer Altersarmut von morgen. Schon jetzt steigt nach Informationen von Gewerkschaften die Zahl der Rentnerinnen und Rentner, deren Alterseinkünfte nicht ausreichen, und die deshalb geringfügige Tätigkeiten aufnehmen müssen. Prekäre Beschäftigung führt langfristig dazu, dass der Personenkreis, der auf soziale Unterstützungsleistungen angewiesen, steigt. Dies wird auch den kommunalen Haushalt zunehmend stärker belasten. Als ein wichtiger Indikator zur Feststellung von prekärer Beschäftigung und damit als Hinweis auf Niedriglohn kann die Anzahl derjenigen Erwerbstätigen herangezogen werden, die zusätzlich zu ihrem Erwerbseinkommen Leistungen nach dem SGB II beziehen, weil dieses für den Lebensunterhalt nicht ausreicht. Hier ist die künftige Sozialberichterstattung gefordert, Beobachtungen vorzunehmen. Sozialausgaben für diesen Personenkreis werden sowohl heute als auch morgen, infolge von nicht erworbener Rentenanwartschaften, den kommunalen Etat belasten. Die Altersarmut wird infolge dessen auch in Leverkusen zunehmen.</w:t>
      </w:r>
    </w:p>
    <w:p w:rsidR="007A1EF5" w:rsidRDefault="007A1EF5">
      <w:pPr>
        <w:spacing w:line="360" w:lineRule="auto"/>
        <w:rPr>
          <w:rFonts w:ascii="Calibri" w:hAnsi="Calibri" w:cs="Arial"/>
        </w:rPr>
      </w:pPr>
    </w:p>
    <w:p w:rsidR="007A1EF5" w:rsidRDefault="007A1EF5">
      <w:pPr>
        <w:numPr>
          <w:ilvl w:val="0"/>
          <w:numId w:val="33"/>
          <w:numberingChange w:id="41" w:author="STV-50-VOGT" w:date="2010-03-17T17:16:00Z" w:original=""/>
        </w:numPr>
        <w:spacing w:line="360" w:lineRule="auto"/>
        <w:rPr>
          <w:rFonts w:ascii="Calibri" w:hAnsi="Calibri" w:cs="Arial"/>
        </w:rPr>
      </w:pPr>
      <w:r>
        <w:rPr>
          <w:rFonts w:ascii="Calibri" w:hAnsi="Calibri" w:cs="Arial"/>
        </w:rPr>
        <w:t>Verschuldung</w:t>
      </w:r>
    </w:p>
    <w:p w:rsidR="007A1EF5" w:rsidRDefault="007A1EF5">
      <w:pPr>
        <w:spacing w:line="360" w:lineRule="auto"/>
        <w:jc w:val="both"/>
        <w:rPr>
          <w:rFonts w:ascii="Calibri" w:hAnsi="Calibri" w:cs="Arial"/>
        </w:rPr>
      </w:pPr>
      <w:r>
        <w:rPr>
          <w:rFonts w:ascii="Calibri" w:hAnsi="Calibri" w:cs="Arial"/>
        </w:rPr>
        <w:t>Die Überschuldung von Verbrauchern gilt als ein wichtiges Indiz, um die materielle Lebenssituation von Privathaushalten zu erfassen. Verschuldung und Überschuldung sind daher ein wichtiges Hindernis zur freien Teilhabe am gesellschaftlichen Leben. Überschuldung liegt dann vor, wenn ein Verbraucher die Summe seiner fälligen Zahlungsverpflichtungen in absehbarer Zeit nicht begleichen kann und ihm zur Deckung seines Lebensunterhalts weder Vermögen noch Kreditmöglichkeiten zur Verfügung stehen. Schuldnerquoten messen den Anteil aller Personen im Alter ab 18 Jahren, die diese Voraussetzung der materiellen Teilhabeeinschränkung erfüllen. Die Entwicklung der Schuldnerquote ist in Leverkusen in den letzten Jahren nahezu punktgenau zur Bundesrepublik Deutschland verlaufen. Mit dem Jahr 2007 ist ein leichter Rückgang der Quote festzustellen, der deutschlandweit betrachtet stärker ausfällt. Erstmals seit Einführung des Rechtsinstituts des Verbraucherinsolvenzverfahrens im Jahr 1999 meldeten im Jahr 2008 aber sowohl in Leverkusen als auch im Land insgesamt weniger Privatpersonen Insolvenz an. Die Schuldnerberatungsdienste sind in Leverkusen gerade auch im Vergleich zu anderen Städten gut aufgestellt und schaffen es, überschuldeten Personen und Privathaushalten die Rückkehr, in ein schuldenfreies Leben zu ermöglichen. Lange Wartezeiten auf fachlich versierte Beratung, die häufig die Situation der Betroffenen noch verschärften, gibt es nicht. Im Jahr 2008 wurden in den Beratungsstellen von AWO, Diakonie und des Sozialdienstes Katholischer Männer insgesamt 1.080 Personen kompetent beraten. In fast 90 Prozent der Beratungsfälle korrelierte die Überschuldungssituation mit einem gleichzeitigen Bezug von Entgeltersatzleistungen. Wichtige Ansätze, die künftig vor dem Hintergrund der Wirtschafts- und Finanzkrise noch weiter intensiviert werden sollten, liegen im Bereich von Finanzkompetenzbildung für Jugendliche und Familien. Schuldenprävention verhindert bereits den Eintritt einer für die Betroffenen meist nicht mehr überschaubaren finanziellen Situation, die nicht zuletzt eine wichtige psycho-soziale Ursache für Arbeitslosigkeit darstellt.</w:t>
      </w:r>
    </w:p>
    <w:p w:rsidR="007A1EF5" w:rsidRDefault="007A1EF5">
      <w:pPr>
        <w:spacing w:line="360" w:lineRule="auto"/>
        <w:jc w:val="both"/>
        <w:rPr>
          <w:rFonts w:ascii="Calibri" w:hAnsi="Calibri" w:cs="Arial"/>
        </w:rPr>
      </w:pPr>
    </w:p>
    <w:p w:rsidR="007A1EF5" w:rsidRDefault="007A1EF5">
      <w:pPr>
        <w:keepNext/>
        <w:spacing w:line="360" w:lineRule="auto"/>
      </w:pPr>
      <w:r w:rsidRPr="00DD0F19">
        <w:rPr>
          <w:rFonts w:ascii="Calibri" w:hAnsi="Calibri" w:cs="Arial"/>
          <w:noProof/>
        </w:rPr>
        <w:object w:dxaOrig="9447" w:dyaOrig="4560">
          <v:shape id="Diagramm 4" o:spid="_x0000_i1049" type="#_x0000_t75" style="width:472.5pt;height:228pt;visibility:visible" o:ole="">
            <v:imagedata r:id="rId52" o:title=""/>
            <o:lock v:ext="edit" aspectratio="f"/>
          </v:shape>
          <o:OLEObject Type="Embed" ProgID="Excel.Chart.8" ShapeID="Diagramm 4" DrawAspect="Content" ObjectID="_1330351650" r:id="rId53"/>
        </w:object>
      </w:r>
    </w:p>
    <w:p w:rsidR="007A1EF5" w:rsidRDefault="007A1EF5">
      <w:pPr>
        <w:pStyle w:val="Caption"/>
        <w:rPr>
          <w:rFonts w:ascii="Calibri" w:hAnsi="Calibri"/>
          <w:b w:val="0"/>
          <w:noProof/>
          <w:color w:val="auto"/>
        </w:rPr>
      </w:pPr>
      <w:r>
        <w:rPr>
          <w:noProof/>
        </w:rPr>
        <w:pict>
          <v:shape id="_x0000_s1050" type="#_x0000_t202" style="position:absolute;margin-left:203.15pt;margin-top:15.55pt;width:63pt;height:17.9pt;z-index:251658240" filled="f" stroked="f">
            <v:textbox style="mso-next-textbox:#_x0000_s1050">
              <w:txbxContent>
                <w:p w:rsidR="007A1EF5" w:rsidRPr="00931AD9" w:rsidRDefault="007A1EF5">
                  <w:pPr>
                    <w:rPr>
                      <w:sz w:val="16"/>
                      <w:szCs w:val="16"/>
                    </w:rPr>
                  </w:pPr>
                  <w:r w:rsidRPr="00931AD9">
                    <w:rPr>
                      <w:b/>
                      <w:bCs/>
                      <w:sz w:val="16"/>
                      <w:szCs w:val="16"/>
                    </w:rPr>
                    <w:t>Abbildung</w:t>
                  </w:r>
                  <w:r>
                    <w:rPr>
                      <w:sz w:val="16"/>
                      <w:szCs w:val="16"/>
                    </w:rPr>
                    <w:t xml:space="preserve"> 24</w:t>
                  </w:r>
                </w:p>
              </w:txbxContent>
            </v:textbox>
          </v:shape>
        </w:pict>
      </w:r>
      <w:r>
        <w:rPr>
          <w:rFonts w:ascii="Calibri" w:hAnsi="Calibri"/>
          <w:b w:val="0"/>
          <w:color w:val="auto"/>
        </w:rPr>
        <w:t xml:space="preserve">Abbildung </w:t>
      </w:r>
      <w:r>
        <w:rPr>
          <w:rFonts w:ascii="Calibri" w:hAnsi="Calibri"/>
          <w:b w:val="0"/>
          <w:color w:val="auto"/>
        </w:rPr>
        <w:fldChar w:fldCharType="begin"/>
      </w:r>
      <w:r>
        <w:rPr>
          <w:rFonts w:ascii="Calibri" w:hAnsi="Calibri"/>
          <w:b w:val="0"/>
          <w:color w:val="auto"/>
        </w:rPr>
        <w:instrText xml:space="preserve"> SEQ Abbildung \* ARABIC </w:instrText>
      </w:r>
      <w:r>
        <w:rPr>
          <w:rFonts w:ascii="Calibri" w:hAnsi="Calibri"/>
          <w:b w:val="0"/>
          <w:color w:val="auto"/>
        </w:rPr>
        <w:fldChar w:fldCharType="separate"/>
      </w:r>
      <w:r>
        <w:rPr>
          <w:rFonts w:ascii="Calibri" w:hAnsi="Calibri"/>
          <w:b w:val="0"/>
          <w:noProof/>
          <w:color w:val="auto"/>
        </w:rPr>
        <w:t>3</w:t>
      </w:r>
      <w:r>
        <w:rPr>
          <w:rFonts w:ascii="Calibri" w:hAnsi="Calibri"/>
          <w:b w:val="0"/>
          <w:color w:val="auto"/>
        </w:rPr>
        <w:fldChar w:fldCharType="end"/>
      </w:r>
      <w:r>
        <w:rPr>
          <w:rFonts w:ascii="Calibri" w:hAnsi="Calibri"/>
          <w:b w:val="0"/>
          <w:color w:val="auto"/>
        </w:rPr>
        <w:t xml:space="preserve">: Schuldnerquote </w:t>
      </w:r>
      <w:r>
        <w:rPr>
          <w:rFonts w:ascii="Calibri" w:hAnsi="Calibri"/>
          <w:b w:val="0"/>
          <w:noProof/>
          <w:color w:val="auto"/>
        </w:rPr>
        <w:t>in Leverkusen im Vergleich zu Deutschland, Datenquelle: Creditreform Schuldenatlas 2009</w:t>
      </w:r>
    </w:p>
    <w:p w:rsidR="007A1EF5" w:rsidRPr="00931AD9" w:rsidRDefault="007A1EF5" w:rsidP="00931AD9">
      <w:pPr>
        <w:rPr>
          <w:b/>
        </w:rPr>
      </w:pPr>
    </w:p>
    <w:p w:rsidR="007A1EF5" w:rsidRPr="00FF09C0" w:rsidRDefault="007A1EF5">
      <w:pPr>
        <w:pBdr>
          <w:bottom w:val="single" w:sz="4" w:space="1" w:color="auto"/>
        </w:pBdr>
        <w:spacing w:line="360" w:lineRule="auto"/>
        <w:outlineLvl w:val="2"/>
        <w:rPr>
          <w:rFonts w:ascii="Calibri" w:hAnsi="Calibri" w:cs="Arial"/>
          <w:b/>
        </w:rPr>
      </w:pPr>
      <w:r>
        <w:rPr>
          <w:rFonts w:ascii="Calibri" w:hAnsi="Calibri" w:cs="Arial"/>
          <w:b/>
          <w:sz w:val="28"/>
          <w:szCs w:val="28"/>
          <w:highlight w:val="cyan"/>
        </w:rPr>
        <w:br w:type="page"/>
      </w:r>
      <w:r w:rsidRPr="00FF09C0">
        <w:rPr>
          <w:rFonts w:ascii="Calibri" w:hAnsi="Calibri" w:cs="Arial"/>
          <w:b/>
        </w:rPr>
        <w:t>(4) Handlungsfeld Wohnen und Lebensqualität</w:t>
      </w:r>
    </w:p>
    <w:p w:rsidR="007A1EF5" w:rsidRDefault="007A1EF5">
      <w:pPr>
        <w:spacing w:line="360" w:lineRule="auto"/>
        <w:outlineLvl w:val="2"/>
        <w:rPr>
          <w:rFonts w:ascii="Calibri" w:hAnsi="Calibri" w:cs="Arial"/>
          <w:highlight w:val="cyan"/>
        </w:rPr>
      </w:pPr>
    </w:p>
    <w:p w:rsidR="007A1EF5" w:rsidRDefault="007A1EF5">
      <w:pPr>
        <w:autoSpaceDE w:val="0"/>
        <w:autoSpaceDN w:val="0"/>
        <w:adjustRightInd w:val="0"/>
        <w:spacing w:line="360" w:lineRule="auto"/>
        <w:jc w:val="both"/>
        <w:rPr>
          <w:rFonts w:ascii="Calibri" w:hAnsi="Calibri" w:cs="Arial"/>
          <w:color w:val="000000"/>
        </w:rPr>
      </w:pPr>
      <w:r>
        <w:rPr>
          <w:rFonts w:ascii="Calibri" w:hAnsi="Calibri" w:cs="Arial"/>
          <w:color w:val="000000"/>
        </w:rPr>
        <w:t xml:space="preserve">Die Wohnungsmärkte in NRW haben sich verändert. </w:t>
      </w:r>
      <w:r>
        <w:rPr>
          <w:rFonts w:ascii="Calibri" w:hAnsi="Calibri" w:cs="Helvetica"/>
        </w:rPr>
        <w:t xml:space="preserve">Studien über die Bevölkerungs- und Wohnungsmarktentwicklung in Nordrhein-Westfalen weisen auf ein Auseinanderdriften der regionalen Märkte und eine Zunahme von Disparitäten auf den Wohnungsteilmärkten hin. </w:t>
      </w:r>
      <w:r>
        <w:rPr>
          <w:rFonts w:ascii="Calibri" w:hAnsi="Calibri" w:cs="Arial"/>
          <w:color w:val="000000"/>
        </w:rPr>
        <w:t xml:space="preserve">Die Zahl der Wohnungsmarktregionen, in denen akuter Wohnungsmangel herrscht, wird mit jedem Jahr kleiner. Das Mengenziel, das über viele Jahre hinweg die Wohnungspolitik bestimmt hat, ist in den Hintergrund getreten. </w:t>
      </w:r>
      <w:r>
        <w:rPr>
          <w:rFonts w:ascii="Calibri" w:hAnsi="Calibri" w:cs="Helvetica"/>
        </w:rPr>
        <w:t>Heute liegen wachsende Standorte in unmittelbarer Nähe zu stagnierenden oder schrumpfenden Märkten.</w:t>
      </w:r>
      <w:r>
        <w:rPr>
          <w:rFonts w:ascii="Calibri" w:hAnsi="Calibri" w:cs="Arial"/>
          <w:color w:val="000000"/>
        </w:rPr>
        <w:t xml:space="preserve">  Die soziale Wohnraumförderung hat dieser Entwicklung bereits Rechnung getragen indem sie eine stärker marktorientierte Förderung von Neubau und Bestand, angepasst an den jeweiligen Bedarf und das Angebot vor Ort, eingeführt hat.  </w:t>
      </w:r>
    </w:p>
    <w:p w:rsidR="007A1EF5" w:rsidRDefault="007A1EF5">
      <w:pPr>
        <w:autoSpaceDE w:val="0"/>
        <w:autoSpaceDN w:val="0"/>
        <w:adjustRightInd w:val="0"/>
        <w:spacing w:line="360" w:lineRule="auto"/>
        <w:jc w:val="both"/>
        <w:rPr>
          <w:rFonts w:ascii="Calibri" w:hAnsi="Calibri" w:cs="Arial"/>
          <w:color w:val="000000"/>
        </w:rPr>
      </w:pPr>
    </w:p>
    <w:p w:rsidR="007A1EF5" w:rsidRDefault="007A1EF5">
      <w:pPr>
        <w:autoSpaceDE w:val="0"/>
        <w:autoSpaceDN w:val="0"/>
        <w:adjustRightInd w:val="0"/>
        <w:spacing w:line="360" w:lineRule="auto"/>
        <w:jc w:val="both"/>
        <w:rPr>
          <w:rFonts w:ascii="Helvetica" w:hAnsi="Helvetica" w:cs="Helvetica"/>
          <w:sz w:val="22"/>
          <w:szCs w:val="22"/>
        </w:rPr>
      </w:pPr>
      <w:r>
        <w:rPr>
          <w:rFonts w:ascii="Calibri" w:hAnsi="Calibri" w:cs="Arial"/>
          <w:color w:val="000000"/>
        </w:rPr>
        <w:t xml:space="preserve">Leverkusen gilt vor diesem Hintergrund als wachsender Standort mit wachsendem Wohnungsmarkt aufgrund einer anhaltenden Wohnungsnachfrage in der gesamten Region. Kommunale Wohnungspolitik in Leverkusen bedeutet deshalb, die quantitative Nachfrage nach Wohnungen in Einklang zu bringen mit sich ändernden Wohnbedürfnissen ihrer Bürger aufgrund des demografischen Wandels, mit der Schaffung eines attraktiven und  qualitätsvollen Wohnangebotes, um dem regionalen Wettbewerb um Einwohner stand zu halten, mit einem schrumpfenden preisgebundenen Teilmarkt sowie mit einer veränderten Rolle der öffentlichen Hand auf dem Wohnungsmarkt, als da z. B. wären die Abschaffung der Eigenheimzulage und die Abschaffung der degressiven Abschreibungsmöglichkeiten im Mietwohnungsbau, die die realen Kosten des Wohnens stärker sichtbar gemacht haben und eher hemmend auf den Wohnungsneubau wirken. </w:t>
      </w:r>
    </w:p>
    <w:p w:rsidR="007A1EF5" w:rsidRDefault="007A1EF5">
      <w:pPr>
        <w:spacing w:line="360" w:lineRule="auto"/>
        <w:jc w:val="both"/>
        <w:outlineLvl w:val="2"/>
        <w:rPr>
          <w:rFonts w:ascii="Calibri" w:hAnsi="Calibri" w:cs="Arial"/>
        </w:rPr>
      </w:pPr>
    </w:p>
    <w:p w:rsidR="007A1EF5" w:rsidRDefault="007A1EF5">
      <w:pPr>
        <w:pStyle w:val="ListParagraph"/>
        <w:numPr>
          <w:ilvl w:val="0"/>
          <w:numId w:val="33"/>
          <w:numberingChange w:id="42" w:author="STV-50-VOGT" w:date="2010-03-17T17:16:00Z" w:original=""/>
        </w:numPr>
        <w:spacing w:line="360" w:lineRule="auto"/>
        <w:jc w:val="both"/>
        <w:outlineLvl w:val="2"/>
        <w:rPr>
          <w:rFonts w:ascii="Calibri" w:hAnsi="Calibri" w:cs="Arial"/>
        </w:rPr>
      </w:pPr>
      <w:r>
        <w:rPr>
          <w:rFonts w:ascii="Calibri" w:hAnsi="Calibri" w:cs="Arial"/>
        </w:rPr>
        <w:t>Wohnraumentwicklung</w:t>
      </w:r>
    </w:p>
    <w:p w:rsidR="007A1EF5" w:rsidRDefault="007A1EF5">
      <w:pPr>
        <w:spacing w:line="360" w:lineRule="auto"/>
        <w:jc w:val="both"/>
        <w:outlineLvl w:val="2"/>
        <w:rPr>
          <w:rFonts w:ascii="Calibri" w:hAnsi="Calibri" w:cs="Arial"/>
        </w:rPr>
      </w:pPr>
      <w:r>
        <w:rPr>
          <w:rFonts w:ascii="Calibri" w:hAnsi="Calibri" w:cs="Arial"/>
        </w:rPr>
        <w:t>In Leverkusen gab es am 31.12.2007 insgesamt 79.503 Wohnungen (Wohnungsmarktbericht Leverkusen 2008). Gegenüber dem Vorjahr wuchs der Wohnungsbestand damit leicht um 0,4 Prozent. Leverkusen liegt bei der Bestandsentwicklung im Landestrend. Im Sinne von Stadtmarketing soll Leverkusen als Wohnort Anzugspunkt für Angehörige bestimmter Bevölkerungsschichten werden, also insbesondere von mittleren und höheren Einkommensgruppen. In Leverkusen sticht daher ein marktorientiertes Leuchtturmprojekt, die „Neue Bahn Stadt Opladen“, besonders hervor. Bei einer alleinigen Marktorientierung von Wohnungspolitik besteht jedoch die Gefahr, dass im Zuge der allgemeinen Aufwertung von Stadtzentren Wohnbedarfe von einkommensschwächeren oder älteren Bewohnern aus den Augen verloren werden. Auf diese Zielgruppen der Wohnungspolitik muss daher die Sozialberichterstattung besonders Acht geben. Dabei kann sich die Leverkusener Wohnungspolitik durchaus sehen lassen: In Leverkusen werden sowohl innovative Projekte wie beispielsweise die „Soziale Stadt Rheindorf-Nord“ oder integrierte Aktivitäten für altengerechtes Wohnen entwickelt. Zum anderen ist aber vor allem eine stabile öffentliche Wohnungsversorgung durch die Wohnungsgesellschaft Leverkusen (WGL) mit rund 7.000 Wohnungen im Bestand zentraler Ankerpunkt, um im Sinne eines wohnungswirtschaftlichen Gesamtkonzepts die spezifischen Bedürfnisse aller Haushaltstypen und Lebensstile zu berücksichtigen. Die Angebotserhaltung von öffentlichem Wohnraum leistet einen wichtigen Beitrag zur sozialen Teilhabe und verhindert das Wegbrechen der wichtigen Teilmärkte der unteren, mittleren und preisgebundenen Wohnsegmente. Folgen der Veräußerung von öffentlichen Wohnungen an Unternehmen, deren Investment allein auf hohe Kapitalrenditen gerichtet ist, können in anderen Städten beobachtet werden. In Leverkusen ist der Wohnungsmarkt nach wie vor relativ ausgeglichen und die Stadt kann sich als ein gutes Beispiel integrierter Wohnstandortpolitik sehen lassen. Wenngleich die kommunale Wohnungsmarktbeobachtung bislang zu dem Ergebnis kommt, der Wohnungsmarkt sei insgesamt entspannt, verwundert es angesichts der Erkenntnisse, zu denen der vorliegende Bericht in anderen Handlungsfeldern kommt, jedoch nicht, dass ein wachsender Bedarf an Wohnungen im unteren preisgebundenen Mietsegment zu erwarten ist (vgl. Leverkusener Wohnungsmarktbericht 2008). Der Druck auf den Wohnungsmarkt wird daher im unteren Preissegment zunehmen.</w:t>
      </w:r>
    </w:p>
    <w:p w:rsidR="007A1EF5" w:rsidRDefault="007A1EF5">
      <w:pPr>
        <w:spacing w:line="360" w:lineRule="auto"/>
        <w:jc w:val="both"/>
        <w:outlineLvl w:val="2"/>
        <w:rPr>
          <w:rFonts w:ascii="Calibri" w:hAnsi="Calibri" w:cs="Arial"/>
        </w:rPr>
      </w:pPr>
    </w:p>
    <w:p w:rsidR="007A1EF5" w:rsidRDefault="007A1EF5">
      <w:pPr>
        <w:pStyle w:val="ListParagraph"/>
        <w:numPr>
          <w:ilvl w:val="0"/>
          <w:numId w:val="33"/>
          <w:numberingChange w:id="43" w:author="STV-50-VOGT" w:date="2010-03-17T17:16:00Z" w:original=""/>
        </w:numPr>
        <w:spacing w:line="360" w:lineRule="auto"/>
        <w:jc w:val="both"/>
        <w:outlineLvl w:val="2"/>
        <w:rPr>
          <w:rFonts w:ascii="Calibri" w:hAnsi="Calibri" w:cs="Arial"/>
        </w:rPr>
      </w:pPr>
      <w:r>
        <w:rPr>
          <w:rFonts w:ascii="Calibri" w:hAnsi="Calibri" w:cs="Arial"/>
        </w:rPr>
        <w:t>Sicherung von Wohnraum für unterschiedliche Zielgruppen</w:t>
      </w:r>
    </w:p>
    <w:p w:rsidR="007A1EF5" w:rsidRDefault="007A1EF5">
      <w:pPr>
        <w:spacing w:line="360" w:lineRule="auto"/>
        <w:jc w:val="both"/>
        <w:outlineLvl w:val="2"/>
        <w:rPr>
          <w:rFonts w:ascii="Calibri" w:hAnsi="Calibri" w:cs="Arial"/>
        </w:rPr>
      </w:pPr>
      <w:r>
        <w:rPr>
          <w:rFonts w:ascii="Calibri" w:hAnsi="Calibri" w:cs="Arial"/>
        </w:rPr>
        <w:t>Das Mietpreisniveau der angebotenen Mietwohnungen liegt in der Stadt im Jahr 2007 bei durchschnittlich 6,32 € pro Quadratmeter. Damit liegt der Wert zwar etwa 50 Eurocent über dem Landesdurchschnitt von 5,80 € (vgl. Wohnungsmarktbarometer der NRW.BANK), aber weit unterhalb des Durchschnittsmietpreises in der teueren Region Rheinland mit 7,61 €. Der innerstädtische Vergleich anhand von Wohnungsdatenbanken zeigt, dass der Preis auf dem freien Wohnungsmarkt deutlich variiert. In Rheindorf lag er im Frühjahr 2009 bei durchschnittlich 5,63 €, in Schlebusch bei 7,09 €. Dabei spielen individuelle Lage der Wohnung sowie Wohnungsgröße für die Preisbildung eine Rolle. In allen Vergleichsreihen für eine nicht preisgebundene 65-Quadratmeter-Wohnung liegt Leverkusen deutlich unter dem Preis in Köln, bei Neuwohnungen leicht unter dem von Solingen. Gleiche interkommunale Aussagen gelten auch für die Baulandpreise.</w:t>
      </w:r>
    </w:p>
    <w:p w:rsidR="007A1EF5" w:rsidRDefault="007A1EF5">
      <w:pPr>
        <w:spacing w:line="360" w:lineRule="auto"/>
        <w:jc w:val="both"/>
        <w:outlineLvl w:val="2"/>
        <w:rPr>
          <w:rFonts w:ascii="Calibri" w:hAnsi="Calibri" w:cs="Arial"/>
        </w:rPr>
      </w:pPr>
      <w:r>
        <w:rPr>
          <w:rFonts w:ascii="Calibri" w:hAnsi="Calibri" w:cs="Arial"/>
        </w:rPr>
        <w:t xml:space="preserve">Die Pro-Kopf-Wohnfläche liegt in Leverkusen in 2007 bei 38,4 Quadratmetern und damit zwei Quadratmeter unter dem bundesdeutschen Vergleichswert (Bundesamt für Bauwesen und Raumordnung). Sie ist in den letzten zehn Jahren zwar um etwa zwei Quadratmeter gestiegen, liegt damit aber im Vergleich immer noch im unteren Bereich. Die Zunahme der Wohnfläche pro Person ist im Wesentlichen eine Folge des proportionalen Einkommenszuwachses der Gesamtbevölkerung sowie von veränderten Haushaltstrukturen, wobei die Tendenz zu Single- und Zweipersonenhaushalten bereits aufgezeigt worden ist. Wie bei der Spreizung der Einkommensklassen ist jedoch beim Wohnraum eine Differenzierung zwischen unterschiedlichen Bevölkerungsgruppen angezeigt, wobei auch die Obergrenze der Unterkunftskosten für Leistungsempfänger von „Hartz IV“ relevant ist. </w:t>
      </w:r>
    </w:p>
    <w:p w:rsidR="007A1EF5" w:rsidRDefault="007A1EF5">
      <w:pPr>
        <w:spacing w:line="360" w:lineRule="auto"/>
        <w:outlineLvl w:val="2"/>
        <w:rPr>
          <w:rFonts w:ascii="Calibri" w:hAnsi="Calibri" w:cs="Arial"/>
          <w:highlight w:val="cyan"/>
        </w:rPr>
      </w:pPr>
    </w:p>
    <w:p w:rsidR="007A1EF5" w:rsidRDefault="007A1EF5">
      <w:pPr>
        <w:spacing w:line="360" w:lineRule="auto"/>
        <w:outlineLvl w:val="2"/>
        <w:rPr>
          <w:rFonts w:ascii="Calibri" w:hAnsi="Calibri" w:cs="Arial"/>
          <w:highlight w:val="cyan"/>
        </w:rPr>
      </w:pPr>
      <w:r>
        <w:rPr>
          <w:noProof/>
        </w:rPr>
        <w:pict>
          <v:shape id="_x0000_s1051" type="#_x0000_t202" style="position:absolute;margin-left:185.15pt;margin-top:182.7pt;width:63pt;height:17.9pt;z-index:251659264" filled="f" stroked="f">
            <v:textbox style="mso-next-textbox:#_x0000_s1051">
              <w:txbxContent>
                <w:p w:rsidR="007A1EF5" w:rsidRPr="00931AD9" w:rsidRDefault="007A1EF5">
                  <w:pPr>
                    <w:rPr>
                      <w:sz w:val="16"/>
                      <w:szCs w:val="16"/>
                    </w:rPr>
                  </w:pPr>
                  <w:r w:rsidRPr="00931AD9">
                    <w:rPr>
                      <w:sz w:val="16"/>
                      <w:szCs w:val="16"/>
                    </w:rPr>
                    <w:t>Abbildung</w:t>
                  </w:r>
                  <w:r>
                    <w:rPr>
                      <w:sz w:val="16"/>
                      <w:szCs w:val="16"/>
                    </w:rPr>
                    <w:t xml:space="preserve"> 25</w:t>
                  </w:r>
                </w:p>
              </w:txbxContent>
            </v:textbox>
          </v:shape>
        </w:pict>
      </w:r>
      <w:r w:rsidRPr="00DD0F19">
        <w:rPr>
          <w:rFonts w:ascii="Calibri" w:hAnsi="Calibri" w:cs="Arial"/>
          <w:noProof/>
        </w:rPr>
        <w:object w:dxaOrig="8055" w:dyaOrig="3447">
          <v:shape id="Objekt 20" o:spid="_x0000_i1050" type="#_x0000_t75" style="width:428.25pt;height:196.5pt;visibility:visible" o:ole="">
            <v:imagedata r:id="rId54" o:title="" croptop="-3841f" cropbottom="-5438f" cropleft="-1643f" cropright="-2555f"/>
            <o:lock v:ext="edit" aspectratio="f"/>
          </v:shape>
          <o:OLEObject Type="Embed" ProgID="Excel.Chart.8" ShapeID="Objekt 20" DrawAspect="Content" ObjectID="_1330351651" r:id="rId55"/>
        </w:object>
      </w:r>
    </w:p>
    <w:p w:rsidR="007A1EF5" w:rsidRDefault="007A1EF5">
      <w:pPr>
        <w:spacing w:line="360" w:lineRule="auto"/>
        <w:jc w:val="both"/>
        <w:rPr>
          <w:rFonts w:ascii="Calibri" w:hAnsi="Calibri" w:cs="Arial"/>
        </w:rPr>
      </w:pPr>
      <w:r>
        <w:rPr>
          <w:rFonts w:ascii="Calibri" w:hAnsi="Calibri" w:cs="Arial"/>
        </w:rPr>
        <w:t>Beim Neubau von Wohnungen weisen Ein- und Zweifamilienhäuser gegenüber Wohnraum für mehrere Haushalte seit dem Jahr 2000 einen stärkeren Zuwachs auf. Der Zuwachs liegt hier im Durchschnitt der letzten 8 Jahre bei mehr als 50 Prozent. Insgesamt liegt Leverkusen beim Neubau von Wohnungen unter dem Bundesdurchschnitt. Im Bestand liegt der Anteil von Wohnungen in Mehrfamilienhäusern mit 68 Prozent jedoch deutlich über dem Landesdurchschnitt (57,2 Prozent). Der Anteil von Eigentumswohnungen lag in Leverkusen im Jahr 2007 bei 30 Prozent.</w:t>
      </w:r>
    </w:p>
    <w:p w:rsidR="007A1EF5" w:rsidRDefault="007A1EF5">
      <w:pPr>
        <w:spacing w:line="360" w:lineRule="auto"/>
        <w:jc w:val="both"/>
        <w:rPr>
          <w:rFonts w:ascii="Calibri" w:hAnsi="Calibri" w:cs="Arial"/>
        </w:rPr>
      </w:pPr>
      <w:r>
        <w:rPr>
          <w:rFonts w:ascii="Calibri" w:hAnsi="Calibri" w:cs="Arial"/>
        </w:rPr>
        <w:t>Die Zahl der öffentlich geförderten Wohnungen sinkt in Leverkusen jedes Jahr. 2007 gab es noch 8.230 preisgebundene Wohnungen. Im Jahr 2008 sank die Anzahl weiter auf 7.408 Wohnungen mit Bindung. Damit lag Leverkusen mit einem Anteil von 9,2 Prozent sowohl leicht unter dem Landesdurchschnitt (9,5 Prozent), als auch unter dem Wert der kreisfreien Städte in NRW (11,1 Prozent, Wert von 2006). Innerhalb der letzten zehn Jahre sank die Anzahl der Sozialwohnungen in Leverkusen um 5,7 Prozentpunkte, und war damit fast gleichauf mit dem landesweiten Rückgang (6,0 Prozentpunkte).</w:t>
      </w:r>
    </w:p>
    <w:p w:rsidR="007A1EF5" w:rsidRDefault="007A1EF5">
      <w:pPr>
        <w:spacing w:line="360" w:lineRule="auto"/>
        <w:jc w:val="both"/>
        <w:rPr>
          <w:rFonts w:ascii="Calibri" w:hAnsi="Calibri" w:cs="Arial"/>
        </w:rPr>
      </w:pPr>
      <w:r>
        <w:rPr>
          <w:rFonts w:ascii="Calibri" w:hAnsi="Calibri" w:cs="Arial"/>
        </w:rPr>
        <w:t>Fallzahlen der Wohnungssicherung zeigen, dass Wohnungsnotstände in aller Regel schnell und unbürokratisch durch die Abteilung Vorbeugende Obdachlosenhilfe beim Fachbereich Soziales behoben werden können. Die Zahl der Fälle liegt hier außerdem auf einem konstanten Niveau. Im Jahr 2007 war die Stadt Leverkusen mit insgesamt 528 Wohnraumkündigungen wegen Mietrückständen befasst. Vor dem Hintergrund der aufgezeigten Folgen des strukturellen Wandels muss die Stadt Leverkusen die Sicherung von angemessenem Wohnraum für alle Bevölkerungsgruppen als ein wesentliches Ziel der sozialen Teilhabe im Auge behalten.</w:t>
      </w:r>
    </w:p>
    <w:p w:rsidR="007A1EF5" w:rsidRDefault="007A1EF5">
      <w:pPr>
        <w:spacing w:line="360" w:lineRule="auto"/>
        <w:jc w:val="both"/>
        <w:outlineLvl w:val="1"/>
        <w:rPr>
          <w:rFonts w:ascii="Calibri" w:hAnsi="Calibri" w:cs="Arial"/>
          <w:color w:val="FF0000"/>
          <w:u w:val="single"/>
        </w:rPr>
      </w:pPr>
      <w:r>
        <w:rPr>
          <w:rFonts w:ascii="Calibri" w:hAnsi="Calibri" w:cs="Arial"/>
        </w:rPr>
        <w:t>Dafür steht zum Einen die Gewährung von Wohngeld als öffentliche Transferleistung zur Verfügung.</w:t>
      </w:r>
      <w:r>
        <w:rPr>
          <w:rFonts w:ascii="Calibri" w:hAnsi="Calibri"/>
        </w:rPr>
        <w:t xml:space="preserve"> In Leverkusen wurden im Jahr 2008 insgesamt 3.129 Anträge auf Wohngeld gestellt. Davon wurden insgesamt 2.254 bewilligt und 875 abgelehnt. Dabei stagnieren die Fallzahlen seit dem 1. Januar 2005 aufgrund der Einführung der im SGB II vorgesehenen Kosten der Unterkunft für erwerbsfähige Hilfebedürftige und deren Familien. Aufgrund einer gesetzlichen Anpassung wurde zum 1. Januar 2009 der anspruchsberechtige Personenkreis für Wohngeld vergrößert. Die Zahl der Wohngeldanträge stieg auf 6.675 an. 5.283 Anträge wurden bewilligt und 1.392 abgelehnt. </w:t>
      </w:r>
    </w:p>
    <w:p w:rsidR="007A1EF5" w:rsidRDefault="007A1EF5">
      <w:pPr>
        <w:spacing w:line="360" w:lineRule="auto"/>
        <w:jc w:val="both"/>
        <w:rPr>
          <w:rFonts w:ascii="Calibri" w:hAnsi="Calibri" w:cs="Arial"/>
        </w:rPr>
      </w:pPr>
      <w:r>
        <w:rPr>
          <w:rFonts w:ascii="Calibri" w:hAnsi="Calibri" w:cs="Arial"/>
        </w:rPr>
        <w:t>Zum Anderen sollte erwogen werden, zusätzliche Daten zur Wohnraumsituation in niedrigen Preissegmenten künftig zentral zu erheben. Die Sicherung von preiswertem Wohnraum ist eine Aufgabe insbesondere für einen Personenkreis, der sich statistisch nicht über die Leistungsbereiche von SGB II (Arbeitsgemeinschaft Leverkusen) und SGB XII (Fachbereich Soziales) erfassen lässt, sondern der im Sinne der öffentlichen Daseinsvorsorge noch oberhalb von Anspruchsgrenzen für Entgeltersatzleistungen lebt. Dunkelziffern erfordern daher eine verantwortliche Stelle, die Erkenntnisse über Wohnraum im niedrigen Segment stärker als bisher bündelt, denn diese gibt es in Leverkusen im Gegensatz zu anderen Städten bislang nicht. Die Sozialberichterstattung sollte diesen Beitrag künftig leisten.</w:t>
      </w:r>
    </w:p>
    <w:p w:rsidR="007A1EF5" w:rsidRDefault="007A1EF5">
      <w:pPr>
        <w:spacing w:line="360" w:lineRule="auto"/>
        <w:jc w:val="both"/>
        <w:rPr>
          <w:rFonts w:ascii="Calibri" w:hAnsi="Calibri" w:cs="Arial"/>
        </w:rPr>
      </w:pPr>
    </w:p>
    <w:p w:rsidR="007A1EF5" w:rsidRDefault="007A1EF5">
      <w:pPr>
        <w:pStyle w:val="ListParagraph"/>
        <w:numPr>
          <w:ilvl w:val="0"/>
          <w:numId w:val="33"/>
          <w:numberingChange w:id="44" w:author="STV-50-VOGT" w:date="2010-03-17T17:16:00Z" w:original=""/>
        </w:numPr>
        <w:spacing w:line="360" w:lineRule="auto"/>
        <w:jc w:val="both"/>
        <w:rPr>
          <w:rFonts w:ascii="Calibri" w:hAnsi="Calibri" w:cs="Arial"/>
        </w:rPr>
      </w:pPr>
      <w:r>
        <w:rPr>
          <w:rFonts w:ascii="Calibri" w:hAnsi="Calibri" w:cs="Arial"/>
        </w:rPr>
        <w:t>Lebensqualität am Wohnstandort Leverkusen</w:t>
      </w:r>
    </w:p>
    <w:p w:rsidR="007A1EF5" w:rsidRDefault="007A1EF5">
      <w:pPr>
        <w:spacing w:line="360" w:lineRule="auto"/>
        <w:jc w:val="both"/>
        <w:rPr>
          <w:rFonts w:ascii="Calibri" w:hAnsi="Calibri" w:cs="Arial"/>
        </w:rPr>
      </w:pPr>
      <w:r>
        <w:rPr>
          <w:rFonts w:ascii="Calibri" w:hAnsi="Calibri" w:cs="Arial"/>
        </w:rPr>
        <w:t xml:space="preserve">Die Lebens- und Wohnqualität stehen in enger Verbindung zueinander: Lebensqualität zeichnet sich u. a. aus sowohl durch eine qualitätsvolle Wohnung sowie durch ein räumlich und sozial ansprechendes Wohnumfeld. Ist dieses nicht gegeben, ist die Umzugsneigung stärker ausgeprägt. Die Anzahl und Häufigkeit eines Umzugs hängt aber auch ab von dem zur Verfügung stehenden Wohnangebot und der allgemeinen wirtschaftlichen Entwicklung. Bei Betrachtung der innerstädtischen Umzüge in Leverkusen in den Jahren 1996 bis 2006 ist erkennbar, dass sich die Umzugsquoten in den Jahren deutlich verändert haben. Zu Beginn der Neunzigerjahre lag die Umzugsquote noch bei ca. 60 Umzügen pro 1.000 Einwohner. Ab Mitte der Neunzigerjahre stieg die Quote dann kontinuierlich an (auf 77 Umzüge pro 1.000 Einwohner), bis sie wieder leicht zurückging. Seit diesem Zeitpunkt liegt sie bei etwa 70 Umzügen pro 1.000 Einwohner und fiel sogar in den letzten Jahren leicht unter den genannten Wert. Diese geringe jährliche Umzugsrate weist auf weniger Bewegung am Wohnungsmarkt hin. </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Bei Betrachtung der einzelnen Stadtteile wird ein großer Unterschied deutlich. Bei der Auswertung der Umzugsquoten in den Stadtteilen treten Entwicklungen in Erscheinung, die nur im Zusammenhang der baulichen Veränderungen mit der sozialen Bevölkerungsentwicklung plausibel erklärt werden können. Die Stadtteile Hitdorf, Lützenkirchen und Schlebusch haben in den letzten Jahren zum Teil stark an Bevölkerung zugenommen. Gleichzeitig zu dieser Bevölkerungszunahme ist eine positive bauliche Entwicklung zu verzeichnen. Die Miet- und Kaufpreise liegen in diesen Stadtteilen häufig über dem Durchschnitt. In Opladen, Manfort, Alkenrath und Rheindorf hingegen ist die Bevölkerung in den Jahren zwischen 1996 und 2006 erheblich zurückgegangen. Außerdem lässt sich feststellen, dass in Stadtteilen, in denen viel gebaut wurde auch die Bevölkerung zugenommen hat und in Stadtteilen, in denen wenig gebaut wurde, ein Rückgang der Bevölkerung festgestellt werden muss. Dies macht den Zusammenhang zwischen Bevölkerungsentwicklung und Wohnungsbautätigkeit deutlich. Mit sinkenden Einwohnerzahlen in den entsprechenden Stadtteilen nimmt dort auch die soziale Dichte ab, denn fort ziehen diejenigen Haushalte, die es sich leisten können bzw. uneingeschränkten Zugang zum freien Wohnungsmarkt haben. Weiter nimmt durch den Bevölkerungsrückgang oftmals die Häufigkeit von Kommunikation und Interaktion der Nachbarn untereinander ab. Das wirkt sich vor allem negativ auf die wohnungsnahen Freiräume aus, die dadurch an Lebendigkeit und urbaner Lebensqualität  einbüßen. Im Handlungsprogramm Wohnen wird deshalb darauf hingewiesen, dass in solchen Stadtteilen mit eher ungünstigen Entwicklungstendenzen Maßnahmen zur Steigerung der Wohnstandortqualitäten durchgeführt werden müssen.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Hinsichtlich der Lösung von Problematiken bei Wohnungsleerständen ist Leverkusen außerordentlich gut positioniert. Die Leerstandsquote stieg zwar in den letzten Jahren leicht an, liegt 2007 aber nur bei knapp 1,6 Prozent. Der erfasste Leerstand wird in aller Regel aus baulich-strukturellen Gründen hervorgerufen.</w:t>
      </w: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Default="007A1EF5">
      <w:pPr>
        <w:spacing w:line="360" w:lineRule="auto"/>
        <w:jc w:val="both"/>
        <w:rPr>
          <w:rFonts w:ascii="Calibri" w:hAnsi="Calibri"/>
          <w:color w:val="FF0000"/>
        </w:rPr>
      </w:pPr>
    </w:p>
    <w:p w:rsidR="007A1EF5" w:rsidRPr="00FF09C0" w:rsidRDefault="007A1EF5">
      <w:pPr>
        <w:pBdr>
          <w:bottom w:val="single" w:sz="4" w:space="1" w:color="auto"/>
        </w:pBdr>
        <w:spacing w:line="360" w:lineRule="auto"/>
        <w:rPr>
          <w:rFonts w:ascii="Calibri" w:hAnsi="Calibri" w:cs="Arial"/>
          <w:b/>
        </w:rPr>
      </w:pPr>
      <w:r w:rsidRPr="00FF09C0">
        <w:rPr>
          <w:rFonts w:ascii="Calibri" w:hAnsi="Calibri" w:cs="Arial"/>
          <w:b/>
        </w:rPr>
        <w:t>(5) Handlungsfeld Bildung und Förderung</w:t>
      </w:r>
    </w:p>
    <w:p w:rsidR="007A1EF5" w:rsidRDefault="007A1EF5">
      <w:pPr>
        <w:spacing w:line="360" w:lineRule="auto"/>
        <w:rPr>
          <w:rFonts w:ascii="Calibri" w:hAnsi="Calibri" w:cs="Arial"/>
          <w:highlight w:val="cyan"/>
        </w:rPr>
      </w:pPr>
    </w:p>
    <w:p w:rsidR="007A1EF5" w:rsidRDefault="007A1EF5">
      <w:pPr>
        <w:spacing w:line="360" w:lineRule="auto"/>
        <w:jc w:val="both"/>
        <w:rPr>
          <w:rFonts w:ascii="Calibri" w:hAnsi="Calibri" w:cs="Arial"/>
        </w:rPr>
      </w:pPr>
      <w:r>
        <w:rPr>
          <w:rFonts w:ascii="Calibri" w:hAnsi="Calibri" w:cs="Arial"/>
        </w:rPr>
        <w:t>Wie das Handlungsfeld Wohnen und Lebensqualität erfahren auch Bildung und Erziehung gegenwärtig einen Funktionswandel, der sich in der Kommune deutlich bemerkbar macht. Bildung wird stärker als bisher zum „Produktions- und Standortfaktor“ (Heinz 2005, S. 214). Dies betrifft die Kinder-, Jugendlichen- und Familienbildung gleichermaßen. Vor dem Hintergrund demografischer Veränderungen werden sie zunehmend als Garanten von Wohlstand und staatlichen Sicherungssystemen wahrgenommen. Schulen und andere Bildungseinrichtungen werden zu Produzenten von sogenanntem „Humanvermögen“, was nichts weiter heißt, als zu einer Ressource, die den Fortbestand der Gesellschaft sicherstellt. Dabei spielt auch das qualitative Bildungsniveau im regionalen Standortwettbewerb eine große Rolle. Denn nach vielfach veröffentlichten Ergebnissen von Studien der Organisation für wirtschaftliche Zusammenarbeit und Entwicklung in Europa (OECD) gilt Bildung als Schlüssel für den Abbau sozialer Ungleichheit und die Verwirklichung von Chancengleichheit in der Gesellschaft.</w:t>
      </w:r>
    </w:p>
    <w:p w:rsidR="007A1EF5" w:rsidRDefault="007A1EF5">
      <w:pPr>
        <w:spacing w:line="360" w:lineRule="auto"/>
        <w:jc w:val="both"/>
        <w:rPr>
          <w:rFonts w:ascii="Calibri" w:hAnsi="Calibri" w:cs="Arial"/>
        </w:rPr>
      </w:pPr>
      <w:r>
        <w:rPr>
          <w:rFonts w:ascii="Calibri" w:hAnsi="Calibri" w:cs="Arial"/>
        </w:rPr>
        <w:t xml:space="preserve">Neue oder veränderte Erwartungen von verschiedenen Seiten, veränderte Bedarfslagen und Familienstrukturen werden an Schulen und andere Bildungseinrichtungen heran getragen. Stärker als bislang wird Kindertageseinrichtungen, Schulen und Jugendeinrichtungen die Aufgabe zugewiesen, familiäre/elterliche Defizite zu kompensieren und familiäre/elterliche Fähigkeiten zu erneuern. Dies betrifft frühkindliche, schulische und Weiterbildung gleichermaßen. Die Bildungseinrichtungen sollen „gesellschaftliche Teilhabe fördern und </w:t>
      </w:r>
    </w:p>
    <w:p w:rsidR="007A1EF5" w:rsidRDefault="007A1EF5">
      <w:pPr>
        <w:spacing w:line="360" w:lineRule="auto"/>
        <w:jc w:val="both"/>
        <w:rPr>
          <w:rFonts w:ascii="Calibri" w:hAnsi="Calibri" w:cs="Arial"/>
        </w:rPr>
      </w:pPr>
      <w:r>
        <w:rPr>
          <w:rFonts w:ascii="Calibri" w:hAnsi="Calibri" w:cs="Arial"/>
        </w:rPr>
        <w:t>systematischer Benachteiligung aufgrund der sozialen Herkunft, des Geschlechts oder der ethnischen Zugehörigkeit entgegenwirken“ (Bildungsbericht 2008, S. 2). Internationalen Studien zufolge gilt als erwiesen, dass Kinder aus „bildungsfernen“ Milieus in Deutschland deutlich geringere Chancen auf den Erwerb von hochqualifizierten Abschlüssen haben. Und in keinem anderen europäischen Land zählen formale Bildungsabschlüsse so sehr wie hier (vgl. Meier-Gräwe 2008).</w:t>
      </w:r>
    </w:p>
    <w:p w:rsidR="007A1EF5" w:rsidRDefault="007A1EF5">
      <w:pPr>
        <w:spacing w:line="360" w:lineRule="auto"/>
        <w:jc w:val="both"/>
        <w:rPr>
          <w:rFonts w:ascii="Calibri" w:hAnsi="Calibri" w:cs="Arial"/>
        </w:rPr>
      </w:pPr>
      <w:r>
        <w:rPr>
          <w:rFonts w:ascii="Calibri" w:hAnsi="Calibri" w:cs="Arial"/>
        </w:rPr>
        <w:t>Je vielschichtiger Akteure im Bildungssystem künftig agieren müssen, desto wichtiger wird es sein, Bildungsbedarfe genauer zu kennen und Bildungsentwicklungen systematischer als bisher zu beobachten. Zusätzliche Angebote bezogen auf Kultur und Weiterbildung müssen unter dem Stichwort „lebenslanges Lernen“ insbesondere in strukturell benachteiligten Stadtteilen etabliert werden. Der Zusammenhang von materieller Armut einerseits und mangelnder Bildungsbeteiligung und Förderung andererseits wurde mehrfach nachgewiesen. Um also einer möglichen Verstetigung von sozialer Ausgrenzung allein aufgrund von materieller Armut entgegen zu wirken und vorhandene Armutslagen zu mildern oder gar zu überwinden, nehmen Bildung und Förderung einen fundamentalen Stellenwert ein. In diesen Feldern nimmt die Stadt Leverkusen eine Vielzahl wichtiger Steuerungsaufgaben wahr, bei dem insbesondere die Jugendhilfe bereits stark den Prinzipien von Sozialraumorientierung und Vernetzung verpflichtet ist. Das öffentliche Engagement stößt jedoch angesichts finanzwirtschaftlicher Möglichkeiten an Grenzen. Deshalb sind Bildungsdaten, die im Zusammenhang mit anderen strukturellen Indikatoren gelesen werden können, für die Zukunft der Stadt unverzichtbar. Im Folgenden werden im Handlungsfeld Bildung und Förderung vorhandene Informationen verdichtet aufbereitet.</w:t>
      </w:r>
    </w:p>
    <w:p w:rsidR="007A1EF5" w:rsidRDefault="007A1EF5">
      <w:pPr>
        <w:spacing w:line="360" w:lineRule="auto"/>
        <w:jc w:val="both"/>
        <w:rPr>
          <w:rFonts w:ascii="Calibri" w:hAnsi="Calibri" w:cs="Arial"/>
        </w:rPr>
      </w:pPr>
    </w:p>
    <w:p w:rsidR="007A1EF5" w:rsidRDefault="007A1EF5">
      <w:pPr>
        <w:pStyle w:val="ListParagraph"/>
        <w:numPr>
          <w:ilvl w:val="0"/>
          <w:numId w:val="33"/>
          <w:numberingChange w:id="45" w:author="STV-50-VOGT" w:date="2010-03-17T17:16:00Z" w:original=""/>
        </w:numPr>
        <w:spacing w:line="360" w:lineRule="auto"/>
        <w:jc w:val="both"/>
        <w:rPr>
          <w:rFonts w:ascii="Calibri" w:hAnsi="Calibri" w:cs="Arial"/>
        </w:rPr>
      </w:pPr>
      <w:r>
        <w:rPr>
          <w:rFonts w:ascii="Calibri" w:hAnsi="Calibri" w:cs="Arial"/>
        </w:rPr>
        <w:t>Vorschulische Bildung und Förderung</w:t>
      </w:r>
    </w:p>
    <w:p w:rsidR="007A1EF5" w:rsidRDefault="007A1EF5">
      <w:pPr>
        <w:spacing w:line="360" w:lineRule="auto"/>
        <w:jc w:val="both"/>
        <w:rPr>
          <w:rFonts w:ascii="Calibri" w:hAnsi="Calibri" w:cs="Arial"/>
        </w:rPr>
      </w:pPr>
      <w:r>
        <w:rPr>
          <w:rFonts w:ascii="Calibri" w:hAnsi="Calibri" w:cs="Arial"/>
          <w:bCs/>
        </w:rPr>
        <w:t xml:space="preserve">. Ein Informationsbedarf besteht im Rahmen der genannten Ziele der Sozialberichterstattung insbesondere hinsichtlich der Frage, wie viele Kinder Kindertagesstätten mit einer Betreuungsdauer von mindestens zwei Jahren besuchen. Als Erhebungsstandard hat die Kommunale Gemeinschaftsstelle für Verwaltungsmanagement die Gesamtzahl der fünfjährigen Kinder definiert. Räumliche Unterschiede bei den Anmeldequoten in Kindertageseinrichtungen könnten im Hinblick auf die hohe Bedeutung der Elementarförderung einen Aufschluss über Ursachen und Folgen von mangelnder Teilhabe geben. </w:t>
      </w:r>
    </w:p>
    <w:p w:rsidR="007A1EF5" w:rsidRDefault="007A1EF5">
      <w:pPr>
        <w:spacing w:line="360" w:lineRule="auto"/>
        <w:jc w:val="both"/>
        <w:rPr>
          <w:rFonts w:ascii="Calibri" w:hAnsi="Calibri" w:cs="Arial"/>
        </w:rPr>
      </w:pPr>
    </w:p>
    <w:p w:rsidR="007A1EF5" w:rsidRDefault="007A1EF5">
      <w:pPr>
        <w:pStyle w:val="ListParagraph"/>
        <w:numPr>
          <w:ilvl w:val="0"/>
          <w:numId w:val="33"/>
          <w:numberingChange w:id="46" w:author="STV-50-VOGT" w:date="2010-03-17T17:16:00Z" w:original=""/>
        </w:numPr>
        <w:spacing w:line="360" w:lineRule="auto"/>
        <w:jc w:val="both"/>
        <w:rPr>
          <w:rFonts w:ascii="Calibri" w:hAnsi="Calibri" w:cs="Arial"/>
        </w:rPr>
      </w:pPr>
      <w:r>
        <w:rPr>
          <w:rFonts w:ascii="Calibri" w:hAnsi="Calibri" w:cs="Arial"/>
        </w:rPr>
        <w:t>Schulische Bildung und Förderung</w:t>
      </w:r>
    </w:p>
    <w:p w:rsidR="007A1EF5" w:rsidRDefault="007A1EF5">
      <w:pPr>
        <w:spacing w:line="360" w:lineRule="auto"/>
        <w:jc w:val="both"/>
        <w:rPr>
          <w:rFonts w:ascii="Calibri" w:hAnsi="Calibri" w:cs="Arial"/>
        </w:rPr>
      </w:pPr>
      <w:r>
        <w:rPr>
          <w:rFonts w:ascii="Calibri" w:hAnsi="Calibri" w:cs="Arial"/>
        </w:rPr>
        <w:t>Am 15. Oktober 2008 besuchten 20.368 Schülerinnen und Schüler die insgesamt 46 allgemeinbildenden Schulen in der Stadt. Damit ist die Zahl im Schuljahr 2008/2009 gegenüber den Vorjahren nur leicht rückläufig. Damit wirkt sich der demografische Wandel an den Schulen in der Stadt bislang nur langsam aus. Für Leverkusen wird durch das statistische Landesamt bis ins Jahr 2029 kein wesentlicher Rückgang der Schülerzahlen erwartet. Bei der Analyse schulischer Daten muss allerdings berücksichtigt werden, dass nicht unterschieden werden kann, ob es sich dabei um Leverkusener Kinder und Jugendliche handelt oder um solche, die aus dem Umland der Stadt die Schulen besuchen.</w:t>
      </w:r>
    </w:p>
    <w:p w:rsidR="007A1EF5" w:rsidRDefault="007A1EF5">
      <w:pPr>
        <w:spacing w:line="360" w:lineRule="auto"/>
        <w:rPr>
          <w:rFonts w:ascii="Calibri" w:hAnsi="Calibri" w:cs="Arial"/>
        </w:rPr>
      </w:pPr>
    </w:p>
    <w:p w:rsidR="007A1EF5" w:rsidRDefault="007A1EF5">
      <w:pPr>
        <w:spacing w:line="360" w:lineRule="auto"/>
        <w:jc w:val="both"/>
        <w:rPr>
          <w:rFonts w:ascii="Calibri" w:hAnsi="Calibri" w:cs="Arial"/>
        </w:rPr>
      </w:pPr>
      <w:r>
        <w:rPr>
          <w:noProof/>
        </w:rPr>
        <w:pict>
          <v:shape id="_x0000_s1052" type="#_x0000_t202" style="position:absolute;left:0;text-align:left;margin-left:176.15pt;margin-top:161.3pt;width:63pt;height:17.9pt;z-index:251660288" filled="f" stroked="f">
            <v:textbox style="mso-next-textbox:#_x0000_s1052">
              <w:txbxContent>
                <w:p w:rsidR="007A1EF5" w:rsidRPr="00931AD9" w:rsidRDefault="007A1EF5">
                  <w:pPr>
                    <w:rPr>
                      <w:sz w:val="16"/>
                      <w:szCs w:val="16"/>
                    </w:rPr>
                  </w:pPr>
                  <w:r w:rsidRPr="00931AD9">
                    <w:rPr>
                      <w:sz w:val="16"/>
                      <w:szCs w:val="16"/>
                    </w:rPr>
                    <w:t>Abbildung</w:t>
                  </w:r>
                  <w:r>
                    <w:rPr>
                      <w:sz w:val="16"/>
                      <w:szCs w:val="16"/>
                    </w:rPr>
                    <w:t xml:space="preserve"> 26</w:t>
                  </w:r>
                </w:p>
              </w:txbxContent>
            </v:textbox>
          </v:shape>
        </w:pict>
      </w:r>
      <w:r w:rsidRPr="00DD0F19">
        <w:rPr>
          <w:rFonts w:ascii="Calibri" w:hAnsi="Calibri" w:cs="Arial"/>
          <w:noProof/>
        </w:rPr>
        <w:object w:dxaOrig="9006" w:dyaOrig="3226">
          <v:shape id="Objekt 22" o:spid="_x0000_i1051" type="#_x0000_t75" style="width:342pt;height:161.25pt;visibility:visible" o:ole="">
            <v:imagedata r:id="rId56" o:title="" cropbottom="-122f" cropright="-7f"/>
            <o:lock v:ext="edit" aspectratio="f"/>
          </v:shape>
          <o:OLEObject Type="Embed" ProgID="Excel.Chart.8" ShapeID="Objekt 22" DrawAspect="Content" ObjectID="_1330351652" r:id="rId57"/>
        </w:objec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Betrachtet man die weiterführenden Schulen, so fällt auf, dass die Anzahl der Schülerinnen und Schüler an Gymnasien deutlich höher ist als die Anzahl derjenigen an allen anderen allgemeinbildenden Schulen. Im Schuljahr 2008/2009 besuchte fast jede/r Zweite der genannten Zielgruppe in Leverkusen das Gymnasium (Tabelle 26).</w:t>
      </w:r>
    </w:p>
    <w:p w:rsidR="007A1EF5" w:rsidRDefault="007A1EF5">
      <w:pPr>
        <w:spacing w:line="360" w:lineRule="auto"/>
        <w:jc w:val="both"/>
        <w:rPr>
          <w:rFonts w:ascii="Calibri" w:hAnsi="Calibri" w:cs="Arial"/>
        </w:rPr>
      </w:pPr>
    </w:p>
    <w:tbl>
      <w:tblPr>
        <w:tblW w:w="9780" w:type="dxa"/>
        <w:tblCellMar>
          <w:left w:w="0" w:type="dxa"/>
          <w:right w:w="0" w:type="dxa"/>
        </w:tblCellMar>
        <w:tblLook w:val="00A0"/>
      </w:tblPr>
      <w:tblGrid>
        <w:gridCol w:w="1384"/>
        <w:gridCol w:w="916"/>
        <w:gridCol w:w="1246"/>
        <w:gridCol w:w="1265"/>
        <w:gridCol w:w="1092"/>
        <w:gridCol w:w="1228"/>
        <w:gridCol w:w="1345"/>
        <w:gridCol w:w="1304"/>
      </w:tblGrid>
      <w:tr w:rsidR="007A1EF5">
        <w:trPr>
          <w:trHeight w:val="594"/>
        </w:trPr>
        <w:tc>
          <w:tcPr>
            <w:tcW w:w="140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rPr>
              <w:t> </w:t>
            </w:r>
          </w:p>
        </w:tc>
        <w:tc>
          <w:tcPr>
            <w:tcW w:w="92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Alle </w:t>
            </w:r>
          </w:p>
        </w:tc>
        <w:tc>
          <w:tcPr>
            <w:tcW w:w="126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Grund-schulen </w:t>
            </w:r>
          </w:p>
        </w:tc>
        <w:tc>
          <w:tcPr>
            <w:tcW w:w="128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Haupt-schulen </w:t>
            </w:r>
          </w:p>
        </w:tc>
        <w:tc>
          <w:tcPr>
            <w:tcW w:w="110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Real-schulen </w:t>
            </w:r>
          </w:p>
        </w:tc>
        <w:tc>
          <w:tcPr>
            <w:tcW w:w="116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Gymnasien </w:t>
            </w:r>
          </w:p>
        </w:tc>
        <w:tc>
          <w:tcPr>
            <w:tcW w:w="136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Gesamt-schulen </w:t>
            </w:r>
          </w:p>
        </w:tc>
        <w:tc>
          <w:tcPr>
            <w:tcW w:w="1320" w:type="dxa"/>
            <w:tcBorders>
              <w:top w:val="single" w:sz="8" w:space="0" w:color="F79646"/>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bCs/>
              </w:rPr>
              <w:t xml:space="preserve">Förder-schulen </w:t>
            </w:r>
          </w:p>
        </w:tc>
      </w:tr>
      <w:tr w:rsidR="007A1EF5">
        <w:trPr>
          <w:trHeight w:val="659"/>
        </w:trPr>
        <w:tc>
          <w:tcPr>
            <w:tcW w:w="140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rPr>
              <w:t xml:space="preserve">Anzahl von Schulen </w:t>
            </w:r>
          </w:p>
        </w:tc>
        <w:tc>
          <w:tcPr>
            <w:tcW w:w="92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46</w:t>
            </w:r>
          </w:p>
        </w:tc>
        <w:tc>
          <w:tcPr>
            <w:tcW w:w="126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28</w:t>
            </w:r>
          </w:p>
        </w:tc>
        <w:tc>
          <w:tcPr>
            <w:tcW w:w="128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4</w:t>
            </w:r>
          </w:p>
        </w:tc>
        <w:tc>
          <w:tcPr>
            <w:tcW w:w="110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3</w:t>
            </w:r>
          </w:p>
        </w:tc>
        <w:tc>
          <w:tcPr>
            <w:tcW w:w="116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5</w:t>
            </w:r>
          </w:p>
        </w:tc>
        <w:tc>
          <w:tcPr>
            <w:tcW w:w="136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2</w:t>
            </w:r>
          </w:p>
        </w:tc>
        <w:tc>
          <w:tcPr>
            <w:tcW w:w="1320" w:type="dxa"/>
            <w:tcBorders>
              <w:top w:val="nil"/>
              <w:left w:val="nil"/>
              <w:bottom w:val="nil"/>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4</w:t>
            </w:r>
          </w:p>
        </w:tc>
      </w:tr>
      <w:tr w:rsidR="007A1EF5">
        <w:trPr>
          <w:trHeight w:val="659"/>
        </w:trPr>
        <w:tc>
          <w:tcPr>
            <w:tcW w:w="140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rPr>
                <w:rFonts w:ascii="Calibri" w:hAnsi="Calibri" w:cs="Arial"/>
              </w:rPr>
            </w:pPr>
            <w:r>
              <w:rPr>
                <w:rFonts w:ascii="Calibri" w:hAnsi="Calibri" w:cs="Arial"/>
              </w:rPr>
              <w:t xml:space="preserve">Anzahl von Schülern </w:t>
            </w:r>
          </w:p>
        </w:tc>
        <w:tc>
          <w:tcPr>
            <w:tcW w:w="92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20.368</w:t>
            </w:r>
          </w:p>
        </w:tc>
        <w:tc>
          <w:tcPr>
            <w:tcW w:w="126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6.073</w:t>
            </w:r>
          </w:p>
        </w:tc>
        <w:tc>
          <w:tcPr>
            <w:tcW w:w="128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1.298</w:t>
            </w:r>
          </w:p>
        </w:tc>
        <w:tc>
          <w:tcPr>
            <w:tcW w:w="110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2.632</w:t>
            </w:r>
          </w:p>
        </w:tc>
        <w:tc>
          <w:tcPr>
            <w:tcW w:w="116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6.706</w:t>
            </w:r>
          </w:p>
        </w:tc>
        <w:tc>
          <w:tcPr>
            <w:tcW w:w="136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3.039</w:t>
            </w:r>
          </w:p>
        </w:tc>
        <w:tc>
          <w:tcPr>
            <w:tcW w:w="1320" w:type="dxa"/>
            <w:tcBorders>
              <w:top w:val="nil"/>
              <w:left w:val="nil"/>
              <w:bottom w:val="single" w:sz="8" w:space="0" w:color="F79646"/>
              <w:right w:val="nil"/>
            </w:tcBorders>
            <w:tcMar>
              <w:top w:w="18" w:type="dxa"/>
              <w:left w:w="70" w:type="dxa"/>
              <w:bottom w:w="0" w:type="dxa"/>
              <w:right w:w="70" w:type="dxa"/>
            </w:tcMar>
            <w:vAlign w:val="bottom"/>
          </w:tcPr>
          <w:p w:rsidR="007A1EF5" w:rsidRDefault="007A1EF5">
            <w:pPr>
              <w:spacing w:line="360" w:lineRule="auto"/>
              <w:jc w:val="center"/>
              <w:rPr>
                <w:rFonts w:ascii="Calibri" w:hAnsi="Calibri" w:cs="Arial"/>
              </w:rPr>
            </w:pPr>
            <w:r>
              <w:rPr>
                <w:rFonts w:ascii="Calibri" w:hAnsi="Calibri" w:cs="Arial"/>
              </w:rPr>
              <w:t>620</w:t>
            </w:r>
          </w:p>
        </w:tc>
      </w:tr>
    </w:tbl>
    <w:p w:rsidR="007A1EF5" w:rsidRDefault="007A1EF5">
      <w:pPr>
        <w:spacing w:line="360" w:lineRule="auto"/>
        <w:rPr>
          <w:rFonts w:ascii="Calibri" w:hAnsi="Calibri" w:cs="Arial"/>
        </w:rPr>
      </w:pPr>
      <w:r>
        <w:rPr>
          <w:noProof/>
        </w:rPr>
        <w:pict>
          <v:shape id="_x0000_s1053" type="#_x0000_t202" style="position:absolute;margin-left:176.15pt;margin-top:2.95pt;width:63pt;height:17.9pt;z-index:251661312;mso-position-horizontal-relative:text;mso-position-vertical-relative:text" filled="f" stroked="f">
            <v:textbox style="mso-next-textbox:#_x0000_s1053">
              <w:txbxContent>
                <w:p w:rsidR="007A1EF5" w:rsidRPr="00931AD9" w:rsidRDefault="007A1EF5">
                  <w:pPr>
                    <w:rPr>
                      <w:sz w:val="16"/>
                      <w:szCs w:val="16"/>
                    </w:rPr>
                  </w:pPr>
                  <w:r w:rsidRPr="00931AD9">
                    <w:rPr>
                      <w:sz w:val="16"/>
                      <w:szCs w:val="16"/>
                    </w:rPr>
                    <w:t>Abbildung</w:t>
                  </w:r>
                  <w:r>
                    <w:rPr>
                      <w:sz w:val="16"/>
                      <w:szCs w:val="16"/>
                    </w:rPr>
                    <w:t xml:space="preserve"> 27</w:t>
                  </w:r>
                </w:p>
              </w:txbxContent>
            </v:textbox>
          </v:shape>
        </w:pict>
      </w:r>
    </w:p>
    <w:p w:rsidR="007A1EF5" w:rsidRDefault="007A1EF5">
      <w:pPr>
        <w:spacing w:line="360" w:lineRule="auto"/>
        <w:jc w:val="both"/>
        <w:rPr>
          <w:rFonts w:ascii="Calibri" w:hAnsi="Calibri" w:cs="Arial"/>
        </w:rPr>
      </w:pPr>
      <w:r>
        <w:rPr>
          <w:rFonts w:ascii="Calibri" w:hAnsi="Calibri" w:cs="Arial"/>
        </w:rPr>
        <w:t xml:space="preserve">Für das Schuljahr 2007/2008 zeigt Abbildung 27, dass der Anteil der Hauptschülerinnen und Hauptschüler in Leverkusen deutlich am geringsten ausfällt. Im Vergleich zur Landesstatistik </w:t>
      </w:r>
      <w:r>
        <w:rPr>
          <w:rFonts w:ascii="Calibri" w:hAnsi="Calibri" w:cs="Arial"/>
          <w:bCs/>
        </w:rPr>
        <w:t>wechseln in Leverkusen mehr Schülerinnen und Schüler auf ein Gymnasium und weniger auf Hauptschulen als andernorts im Lande.</w:t>
      </w:r>
      <w:r>
        <w:rPr>
          <w:rFonts w:ascii="Calibri" w:hAnsi="Calibri" w:cs="Arial"/>
        </w:rPr>
        <w:t xml:space="preserve"> Fast 42,7 Prozent aller Grundschülerinnen und Grundschüler wechseln in NRW auf ein Gymnasium. In Leverkusen lag der Anteil bei 48,6 % und damit um mehr als 6 Prozentpunkte darüber. Dafür ist der Anteil der Schülerinnen und Schüler an den Hauptschulen mehr als 7 Prozentpunkte geringer als in NRW (16,9 Prozent). Gleiches gilt auch Realschulen, deren Anteil in Leverkusen gegenüber NRW (23,6 Prozent) um fast 4 Prozentpunkte geringer ausfällt. Den Übergang zur Gesamtschule dagegen wählen in Leverkusen bei 21,9 Prozent mit etwa 5 Prozentpunkten mehr als in NRW (16,8 Prozent). Damit ist die Gesamtschule nach dem Gymnasium die zweitwichtigste Schulform aller allgemeinbildenden weiterführenden Schulen.</w:t>
      </w:r>
    </w:p>
    <w:p w:rsidR="007A1EF5" w:rsidRDefault="007A1EF5">
      <w:pPr>
        <w:spacing w:line="360" w:lineRule="auto"/>
        <w:rPr>
          <w:rFonts w:ascii="Calibri" w:hAnsi="Calibri" w:cs="Arial"/>
        </w:rPr>
      </w:pPr>
    </w:p>
    <w:p w:rsidR="007A1EF5" w:rsidRDefault="007A1EF5">
      <w:pPr>
        <w:spacing w:line="360" w:lineRule="auto"/>
        <w:rPr>
          <w:rFonts w:ascii="Calibri" w:hAnsi="Calibri" w:cs="Arial"/>
          <w:noProof/>
        </w:rPr>
      </w:pPr>
      <w:r>
        <w:pict>
          <v:shape id="_x0000_i1052" type="#_x0000_t75" style="width:444.75pt;height:245.25pt">
            <v:imagedata r:id="rId58" o:title=""/>
          </v:shape>
        </w:pict>
      </w:r>
    </w:p>
    <w:p w:rsidR="007A1EF5" w:rsidRDefault="007A1EF5">
      <w:pPr>
        <w:spacing w:line="360" w:lineRule="auto"/>
        <w:rPr>
          <w:rFonts w:ascii="Calibri" w:hAnsi="Calibri" w:cs="Arial"/>
        </w:rPr>
      </w:pPr>
      <w:r>
        <w:rPr>
          <w:noProof/>
        </w:rPr>
        <w:pict>
          <v:shape id="_x0000_s1054" type="#_x0000_t202" style="position:absolute;margin-left:194.15pt;margin-top:.1pt;width:63pt;height:17.9pt;z-index:251662336" filled="f" stroked="f">
            <v:textbox style="mso-next-textbox:#_x0000_s1054">
              <w:txbxContent>
                <w:p w:rsidR="007A1EF5" w:rsidRPr="00931AD9" w:rsidRDefault="007A1EF5">
                  <w:pPr>
                    <w:rPr>
                      <w:sz w:val="16"/>
                      <w:szCs w:val="16"/>
                    </w:rPr>
                  </w:pPr>
                  <w:r w:rsidRPr="00931AD9">
                    <w:rPr>
                      <w:sz w:val="16"/>
                      <w:szCs w:val="16"/>
                    </w:rPr>
                    <w:t>Abbildung</w:t>
                  </w:r>
                  <w:r>
                    <w:rPr>
                      <w:sz w:val="16"/>
                      <w:szCs w:val="16"/>
                    </w:rPr>
                    <w:t xml:space="preserve"> 28</w:t>
                  </w:r>
                </w:p>
              </w:txbxContent>
            </v:textbox>
          </v:shape>
        </w:pict>
      </w:r>
    </w:p>
    <w:p w:rsidR="007A1EF5" w:rsidRDefault="007A1EF5">
      <w:pPr>
        <w:spacing w:line="360" w:lineRule="auto"/>
        <w:jc w:val="both"/>
        <w:rPr>
          <w:rFonts w:ascii="Calibri" w:hAnsi="Calibri" w:cs="Arial"/>
        </w:rPr>
      </w:pPr>
      <w:r>
        <w:rPr>
          <w:rFonts w:ascii="Calibri" w:hAnsi="Calibri" w:cs="Arial"/>
        </w:rPr>
        <w:t>Auf den drei Leverkusener Hauptschulen, ist der Anteil ausländischer Schülerinnen und Schüler mit insgesamt 24,7 Prozent deutlich größer als an allen anderen allgemeinbildenden weiterführenden Schulen der Stadt. Die Gymnasien weisen dagegen nur einen Anteil von 4,5 Prozent ausländischer Schülerinnen und Schülern auf und somit den niedrigsten der allgemeinbildenden weiterführenden Schulen.</w:t>
      </w:r>
    </w:p>
    <w:p w:rsidR="007A1EF5" w:rsidRDefault="007A1EF5">
      <w:pPr>
        <w:spacing w:line="360" w:lineRule="auto"/>
        <w:jc w:val="both"/>
        <w:rPr>
          <w:rFonts w:ascii="Calibri" w:hAnsi="Calibri" w:cs="Arial"/>
        </w:rPr>
      </w:pPr>
      <w:r>
        <w:rPr>
          <w:rFonts w:ascii="Calibri" w:hAnsi="Calibri" w:cs="Arial"/>
          <w:bCs/>
        </w:rPr>
        <w:t xml:space="preserve">Die Quote aller Schülerinnen und Schüler ohne Schulabschluss liegt gemessen an der altersgleichen Gesamtbevölkerung in Leverkusen bei 5 Prozent. Jeder 17. Schulabgänger bleibt damit in Leverkusen ohne Hauptschulabschluss, womit die </w:t>
      </w:r>
      <w:r>
        <w:rPr>
          <w:rFonts w:ascii="Calibri" w:hAnsi="Calibri" w:cs="Arial"/>
        </w:rPr>
        <w:t>Stadt im Landesdurchschnitt liegt. Abbildung 29 zeigt die Entwicklung der Anzahl der Schülerinnen und Schüler ohne Hauptschulabschluss in den Jahren 2005 bis 2008. Dabei wird ersichtlich, dass die Kurve in den letzten Jahren konstant ist. Im Hinblick auf soziale Teilhabe wird jedoch deutlich, dass der Anteil ausländischer Schülerinnen und Schüler ohne Schulabschluss nicht ihrem Anteil an der altersgleichen Gesamtbevölkerung entspricht. Dabei zeigen sich aber durchaus Schwankungen. Im Schuljahr 2005/2006 waren unter den Schülerinnen und Schülern ohne Schulabschluss 53 deutscher und 41 ausländischer Staatsangehörigkeit. Im Schuljahr 2006/2007 hatten dagegen 65 einen deutschen Pass. Hier zeigt sich, dass die statistische Auswertung der Informationen differenziert erfolgen muss, gerade auch im Hinblick darauf, dass eine Aussage darüber, wie viele unter den „deutschen“ Schülerinnen und Schülern neben ihrer deutschen auch eine weitere Staatsangehörigkeit besaßen. Außerdem wird aus den Statistiken über die Schülerinnen und Schüler in Leverkusen ohne Hauptschulabschluss erkennbar, dass insgesamt mehr männliche Schüler ohne Hauptschulabschluss bleiben als weibliche Schülerinnen. Außerdem ist die Anzahl der männlichen Schüler ohne Hauptschulabschluss im gesamten in den betrachteten Jahren kontinuierlich gestiegen.</w:t>
      </w:r>
    </w:p>
    <w:p w:rsidR="007A1EF5" w:rsidRDefault="007A1EF5">
      <w:pPr>
        <w:spacing w:line="360" w:lineRule="auto"/>
        <w:rPr>
          <w:rFonts w:ascii="Calibri" w:hAnsi="Calibri" w:cs="Arial"/>
          <w:bCs/>
        </w:rPr>
      </w:pPr>
    </w:p>
    <w:p w:rsidR="007A1EF5" w:rsidRDefault="007A1EF5">
      <w:pPr>
        <w:spacing w:line="360" w:lineRule="auto"/>
        <w:jc w:val="both"/>
        <w:rPr>
          <w:rFonts w:ascii="Calibri" w:hAnsi="Calibri" w:cs="Arial"/>
        </w:rPr>
      </w:pPr>
      <w:r>
        <w:rPr>
          <w:noProof/>
        </w:rPr>
        <w:pict>
          <v:shape id="_x0000_s1055" type="#_x0000_t202" style="position:absolute;left:0;text-align:left;margin-left:194.15pt;margin-top:160.45pt;width:63pt;height:17.9pt;z-index:251663360" filled="f" stroked="f">
            <v:textbox style="mso-next-textbox:#_x0000_s1055">
              <w:txbxContent>
                <w:p w:rsidR="007A1EF5" w:rsidRPr="00931AD9" w:rsidRDefault="007A1EF5">
                  <w:pPr>
                    <w:rPr>
                      <w:sz w:val="16"/>
                      <w:szCs w:val="16"/>
                    </w:rPr>
                  </w:pPr>
                  <w:r w:rsidRPr="00931AD9">
                    <w:rPr>
                      <w:sz w:val="16"/>
                      <w:szCs w:val="16"/>
                    </w:rPr>
                    <w:t>Abbildung</w:t>
                  </w:r>
                  <w:r>
                    <w:rPr>
                      <w:sz w:val="16"/>
                      <w:szCs w:val="16"/>
                    </w:rPr>
                    <w:t xml:space="preserve"> 29</w:t>
                  </w:r>
                </w:p>
              </w:txbxContent>
            </v:textbox>
          </v:shape>
        </w:pict>
      </w:r>
      <w:r w:rsidRPr="00DD0F19">
        <w:rPr>
          <w:rFonts w:ascii="Calibri" w:hAnsi="Calibri" w:cs="Arial"/>
          <w:noProof/>
        </w:rPr>
        <w:object w:dxaOrig="8852" w:dyaOrig="3274">
          <v:shape id="Objekt 21" o:spid="_x0000_i1053" type="#_x0000_t75" style="width:442.5pt;height:164.25pt;visibility:visible" o:ole="">
            <v:imagedata r:id="rId59" o:title="" cropbottom="-200f"/>
            <o:lock v:ext="edit" aspectratio="f"/>
          </v:shape>
          <o:OLEObject Type="Embed" ProgID="Excel.Chart.8" ShapeID="Objekt 21" DrawAspect="Content" ObjectID="_1330351653" r:id="rId60"/>
        </w:object>
      </w:r>
    </w:p>
    <w:p w:rsidR="007A1EF5" w:rsidRDefault="007A1EF5">
      <w:pPr>
        <w:spacing w:line="360" w:lineRule="auto"/>
        <w:rPr>
          <w:rFonts w:ascii="Calibri" w:hAnsi="Calibri" w:cs="Arial"/>
        </w:rPr>
      </w:pPr>
    </w:p>
    <w:p w:rsidR="007A1EF5" w:rsidRPr="00931AD9" w:rsidRDefault="007A1EF5" w:rsidP="00931AD9">
      <w:pPr>
        <w:spacing w:line="360" w:lineRule="auto"/>
        <w:rPr>
          <w:rFonts w:ascii="Calibri" w:hAnsi="Calibri"/>
        </w:rPr>
      </w:pPr>
      <w:r w:rsidRPr="00931AD9">
        <w:rPr>
          <w:rFonts w:ascii="Calibri" w:hAnsi="Calibri"/>
        </w:rPr>
        <w:t xml:space="preserve">Frauen haben in der Regel bessere Schulabschlüsse, auch wenn sich dies nicht in der Erwerbsbeteiligung niederschlägt. So liegt 2007 in Leverkusen der Anteil von Frauen bei Schulabgängern mit Hochschulreife (je 100 der Bevölkerung zwischen 15 und 20 Jahren) bei 43,7; der Anteil von Männern lediglich bei 33,6. </w:t>
      </w:r>
    </w:p>
    <w:p w:rsidR="007A1EF5" w:rsidRDefault="007A1EF5">
      <w:pPr>
        <w:spacing w:line="360" w:lineRule="auto"/>
        <w:rPr>
          <w:rFonts w:ascii="Calibri" w:hAnsi="Calibri" w:cs="Arial"/>
        </w:rPr>
      </w:pPr>
    </w:p>
    <w:p w:rsidR="007A1EF5" w:rsidRDefault="007A1EF5">
      <w:pPr>
        <w:spacing w:line="360" w:lineRule="auto"/>
        <w:jc w:val="both"/>
        <w:rPr>
          <w:rFonts w:ascii="Calibri" w:hAnsi="Calibri" w:cs="Arial"/>
        </w:rPr>
      </w:pPr>
      <w:r>
        <w:rPr>
          <w:rFonts w:ascii="Calibri" w:hAnsi="Calibri" w:cs="Arial"/>
        </w:rPr>
        <w:t>Im Hinblick auf die Bedeutung, die eine ganztägige inner- und außerschulische Betreuung und Förderung von Kindern und Jugendlichen erhält, ist Leverkusen gut aufgestellt. Die Stadt engagiert sich für eine nahezu flächendeckende Einführung von ganztagsschulischen Angeboten sowohl im Grundschulbereich als auch an vielen weiterführenden Schulen. Im Schuljahr 2007/2008 wurden 21 Offene Ganztagsschulen von 1.150 Schülerinnen und Schülern besucht. Um auch einkommensschwachen Familien einen Zugang zu ermöglichen, verfolgt die Stadt Leverkusen unterschiedliche Lösungsansätze. Damit wird das Einkommen dann nicht nochmals zu einer weiteren Eintrittsbarriere bzw. zu einem Ausgrenzungsfaktor. Eine wichtige Bedeutung erhalten im Rahmen der Ganztagsbetreuung auch die drei Förderschulen, die allesamt über einen Ganztagsbetrieb verfügen. Schließlich kommt auch der Schulsozialarbeit bei der Integration von benachteiligten Zielgruppen und beim Ausgleich von Interessenskonflikten ein hoher Stellenwert zu, um gesellschaftliche Teilhabe von jungen Menschen in Leverkusen zu fördern.</w:t>
      </w:r>
    </w:p>
    <w:p w:rsidR="007A1EF5" w:rsidRDefault="007A1EF5">
      <w:pPr>
        <w:rPr>
          <w:rFonts w:ascii="Calibri" w:hAnsi="Calibri" w:cs="Arial"/>
        </w:rPr>
      </w:pPr>
    </w:p>
    <w:p w:rsidR="007A1EF5" w:rsidRDefault="007A1EF5">
      <w:pPr>
        <w:rPr>
          <w:rFonts w:ascii="Calibri" w:hAnsi="Calibri" w:cs="Arial"/>
        </w:rPr>
      </w:pPr>
    </w:p>
    <w:p w:rsidR="007A1EF5" w:rsidRDefault="007A1EF5">
      <w:pPr>
        <w:pStyle w:val="ListParagraph"/>
        <w:numPr>
          <w:ilvl w:val="0"/>
          <w:numId w:val="33"/>
          <w:numberingChange w:id="47" w:author="STV-50-VOGT" w:date="2010-03-17T17:16:00Z" w:original=""/>
        </w:numPr>
        <w:spacing w:line="360" w:lineRule="auto"/>
        <w:jc w:val="both"/>
        <w:rPr>
          <w:rFonts w:ascii="Calibri" w:hAnsi="Calibri" w:cs="Arial"/>
        </w:rPr>
      </w:pPr>
      <w:r>
        <w:rPr>
          <w:rFonts w:ascii="Calibri" w:hAnsi="Calibri" w:cs="Arial"/>
        </w:rPr>
        <w:t>Berufsbezogene Bildung und Förderung</w:t>
      </w:r>
    </w:p>
    <w:p w:rsidR="007A1EF5" w:rsidRDefault="007A1EF5">
      <w:pPr>
        <w:pStyle w:val="ListParagraph"/>
        <w:spacing w:line="360" w:lineRule="auto"/>
        <w:jc w:val="both"/>
        <w:rPr>
          <w:rFonts w:ascii="Calibri" w:hAnsi="Calibri" w:cs="Arial"/>
          <w:b/>
          <w:color w:val="FF0000"/>
          <w:sz w:val="28"/>
          <w:szCs w:val="28"/>
        </w:rPr>
      </w:pPr>
    </w:p>
    <w:p w:rsidR="007A1EF5" w:rsidRDefault="007A1EF5">
      <w:pPr>
        <w:spacing w:line="360" w:lineRule="auto"/>
        <w:jc w:val="both"/>
        <w:rPr>
          <w:rFonts w:ascii="Calibri" w:hAnsi="Calibri" w:cs="Arial"/>
        </w:rPr>
      </w:pPr>
      <w:r>
        <w:rPr>
          <w:rFonts w:ascii="Calibri" w:hAnsi="Calibri" w:cs="Arial"/>
        </w:rPr>
        <w:t>Grundlegende Funktionen erfüllen für die Bildungslandschaft in Leverkusen duale Berufsbildungseinrichtungen. Aufgrund der Bedeutung der Stadt als Industriestandort haben Ausbildungsberufe einen nach wie vor großen Anteil an allen berufsbezogenen Qualifikationswegen. Eine erfolgreiche Berufsausbildung zielt aus Sicht des Einzelnen darauf ab, Kompetenzen zu entwickeln, mit deren Hilfe später die Erwerbsbiografie eigenständig gestaltet und ausreichend Erwerbseinkommen zur Existenzsicherung erzielt werden kann. Aus Sicht der Gemeinschaft dient die Berufsausbildung der sozialen Integration der nachwachsenden Generation in Wirtschaft und Gesellschaft. Dies sichert eine Versorgung der Unternehmen mit qualifizierten Fachkräften. Angesichts des demografischen Wandels wird künftig der Bedarf an Fachkräften stark zunehmen. Im Bereich der berufsbezogenen Bildung hat Sozialberichterstattung die Aufgabe, auf strukturelle Defizite hinzuweisen, die eine Passgenauigkeit von Angebot und Nachfrage der Beschäftigung einschränken.</w:t>
      </w:r>
    </w:p>
    <w:p w:rsidR="007A1EF5" w:rsidRDefault="007A1EF5">
      <w:pPr>
        <w:spacing w:line="360" w:lineRule="auto"/>
        <w:jc w:val="both"/>
        <w:rPr>
          <w:rFonts w:ascii="Calibri" w:hAnsi="Calibri" w:cs="Arial"/>
        </w:rPr>
      </w:pPr>
      <w:r>
        <w:rPr>
          <w:rFonts w:ascii="Calibri" w:hAnsi="Calibri" w:cs="Arial"/>
          <w:bCs/>
        </w:rPr>
        <w:t xml:space="preserve">Ein wichtiger Indikator zur Erfassung ist die sogenannte Angebots-Nachfrage-Relation (ANR). Dieser wird von der Bundesagentur für Arbeit regelmäßig erhoben. </w:t>
      </w:r>
      <w:r>
        <w:rPr>
          <w:rFonts w:ascii="Calibri" w:hAnsi="Calibri" w:cs="Arial"/>
        </w:rPr>
        <w:t xml:space="preserve">Beim ANR-Index wird das Verhältnis gemessen zwischen dem Angebot, der Summe aller bis zum 30. September eines Jahres abgeschlossenen Ausbildungsverhältnisse und den bei der Bundesagentur für Arbeit gemeldeten, aber unbesetzt gebliebenen Stellen, einerseits, und der Nachfrage andererseits, die alle Neuverträge und noch nicht von der Bundesagentur versorgten Bewerber erfasst. </w:t>
      </w:r>
      <w:r>
        <w:rPr>
          <w:rFonts w:ascii="Calibri" w:hAnsi="Calibri" w:cs="Arial"/>
          <w:bCs/>
        </w:rPr>
        <w:t xml:space="preserve">Die ANR wird bei der Ausbildungssituation junger Menschen im Arbeitsagenturbezirk als „relativ ungünstig“ bewertet. </w:t>
      </w:r>
      <w:r>
        <w:rPr>
          <w:rFonts w:ascii="Calibri" w:hAnsi="Calibri" w:cs="Arial"/>
        </w:rPr>
        <w:t>Der Bildungsbericht ordnet Leverkusen dem Agglomerationstyp „Ballungszentrum“ zu, der im Ausbildungsjahr 2007 einen Mittelwert von 93,8 aufweist. Der Arbeitsagenturbezirk Bergisch Gladbach, zu dem auch Leverkusen gehört, erreicht im gleichen Jahr genau diesen Wert. Trotz einer Verbesserung der Situation im Jahr 2008 um drei Prozentpunkte rangiert die Region Leverkusen/Bergisches Land unter allen Bezirken der Arbeitsagentur auf einem der hinteren Plätze (vgl. Bildungsbericht 2008, S. 100 ff.; 277). Zwar erfasst der ANR-Index nur Jugendliche innerhalb des dualen Ausbildungssystems und nicht etwa schulische (Vollzeit-)Ausbildungen. Dafür addiert er jedoch diejenigen Jugendlichen hinzu, die nach zunächst gescheitertem Ausbildungszugang von der Bundesagentur für Arbeit oder aus eigenem Antrieb noch in eine alternative Maßnahme vermittelt wurden.</w:t>
      </w:r>
    </w:p>
    <w:p w:rsidR="007A1EF5" w:rsidRDefault="007A1EF5">
      <w:pPr>
        <w:spacing w:line="360" w:lineRule="auto"/>
        <w:jc w:val="both"/>
        <w:rPr>
          <w:rFonts w:ascii="Calibri" w:hAnsi="Calibri" w:cs="Arial"/>
        </w:rPr>
      </w:pPr>
      <w:r>
        <w:rPr>
          <w:rFonts w:ascii="Calibri" w:hAnsi="Calibri" w:cs="Arial"/>
          <w:bCs/>
        </w:rPr>
        <w:t xml:space="preserve">Auch der Anteil von Auszubildenden an den sozialversicherungspflichtig Beschäftigten liegt in Leverkusen bei nur 5,1 Prozent, in NRW jedoch bei 5,6 Prozent. </w:t>
      </w:r>
      <w:r>
        <w:rPr>
          <w:rFonts w:ascii="Calibri" w:hAnsi="Calibri" w:cs="Arial"/>
        </w:rPr>
        <w:t>Damit liegt die Stadt im unteren Drittel aller Kreise und kreisfreien Städte in Deutschland (Bundesamt für Bauwesen und Raumordnung). Dies deutet auch darauf hin, dass Angebot und Nachfrage deshalb nicht zusammen passen, weil vielen Schülerinnen und Schülern die erforderliche berufliche und persönliche Qualifizierung fehlt. Legt man den eingangs formulierten Anspruch nach „Humanvermögen“ zugrunde, so geht der Leverkusener Wirtschaft und Gesellschaft viel von diesem Potenzial verloren.</w:t>
      </w:r>
    </w:p>
    <w:p w:rsidR="007A1EF5" w:rsidRDefault="007A1EF5">
      <w:pPr>
        <w:spacing w:line="360" w:lineRule="auto"/>
        <w:jc w:val="both"/>
        <w:rPr>
          <w:rFonts w:ascii="Calibri" w:hAnsi="Calibri" w:cs="Arial"/>
        </w:rPr>
      </w:pPr>
    </w:p>
    <w:p w:rsidR="007A1EF5" w:rsidRPr="00931AD9" w:rsidRDefault="007A1EF5" w:rsidP="00931AD9">
      <w:pPr>
        <w:spacing w:line="360" w:lineRule="auto"/>
        <w:rPr>
          <w:rFonts w:ascii="Calibri" w:hAnsi="Calibri"/>
        </w:rPr>
      </w:pPr>
      <w:r w:rsidRPr="00931AD9">
        <w:rPr>
          <w:rFonts w:ascii="Calibri" w:hAnsi="Calibri"/>
        </w:rPr>
        <w:t>Bei den neu abgeschlossenen Ausbildungsverträgen (je 100 eines Jahrgangs zwischen 15 und 20 Jahren) haben Frauen mit 67,7 einen geringen Vorsprung gegenüber Männern mit 65,2.</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 xml:space="preserve">Bundesweite Erhebungen zeigen, dass nur zwei von fünf Schulabsolventen mit Hauptschulabschluss einen Ausbildungsplatz finden. </w:t>
      </w:r>
    </w:p>
    <w:p w:rsidR="007A1EF5" w:rsidRDefault="007A1EF5">
      <w:pPr>
        <w:spacing w:line="360" w:lineRule="auto"/>
        <w:jc w:val="both"/>
        <w:rPr>
          <w:rFonts w:ascii="Calibri" w:hAnsi="Calibri" w:cs="Arial"/>
        </w:rPr>
      </w:pPr>
    </w:p>
    <w:p w:rsidR="007A1EF5" w:rsidRPr="00931AD9" w:rsidRDefault="007A1EF5" w:rsidP="00931AD9">
      <w:pPr>
        <w:spacing w:line="360" w:lineRule="auto"/>
        <w:jc w:val="both"/>
        <w:rPr>
          <w:rFonts w:ascii="Calibri" w:hAnsi="Calibri"/>
          <w:bCs/>
        </w:rPr>
      </w:pPr>
      <w:r w:rsidRPr="00931AD9">
        <w:rPr>
          <w:rFonts w:ascii="Calibri" w:hAnsi="Calibri"/>
          <w:bCs/>
        </w:rPr>
        <w:t>Für diese problematische Zielgruppe wird eine Vielzahl von Maßnahmen und Angeboten finanziert von Bund, Land und Kommunen auch in Leverkusen durchgeführt. Für einen zielgerichteten und effizienten Einsatz dieser Angebote ist von der Stadt Leverkusen mit der finanziellen Förderung des Landes NRW im Rahmen des Modellprojektes „Eintopf“ im Jahr 2009 eine Koordinierungsstelle am Übergang Schule- Beruf eingerichtet worden.</w:t>
      </w:r>
    </w:p>
    <w:p w:rsidR="007A1EF5" w:rsidRPr="00931AD9" w:rsidRDefault="007A1EF5" w:rsidP="00931AD9">
      <w:pPr>
        <w:spacing w:line="360" w:lineRule="auto"/>
        <w:jc w:val="both"/>
        <w:rPr>
          <w:rFonts w:ascii="Calibri" w:hAnsi="Calibri"/>
          <w:bCs/>
        </w:rPr>
      </w:pPr>
      <w:r w:rsidRPr="00931AD9">
        <w:rPr>
          <w:rFonts w:ascii="Calibri" w:hAnsi="Calibri"/>
          <w:bCs/>
        </w:rPr>
        <w:t>Die Koordinierungsstelle soll dabei, die regionalen Angebote der Berufsvorbereitung systematisch erfassen, aufeinander abstimmen sowie dem identifizierten Bedarf nach individueller Förderung der Jugendlichen entsprechend anpassen.</w:t>
      </w:r>
    </w:p>
    <w:p w:rsidR="007A1EF5" w:rsidRPr="00931AD9" w:rsidRDefault="007A1EF5" w:rsidP="00931AD9">
      <w:pPr>
        <w:spacing w:line="360" w:lineRule="auto"/>
        <w:jc w:val="both"/>
        <w:rPr>
          <w:rFonts w:ascii="Calibri" w:hAnsi="Calibri"/>
          <w:bCs/>
        </w:rPr>
      </w:pPr>
      <w:r w:rsidRPr="00931AD9">
        <w:rPr>
          <w:rFonts w:ascii="Calibri" w:hAnsi="Calibri"/>
          <w:bCs/>
        </w:rPr>
        <w:t>Dieses Informations- und Koordinierungssystem soll so gestaltet sein, dass der schulische Werdegang von jungen Menschen mit Förderbedarf ab dem 8. Schuljahr frühzeitig erfasst und kontinuierlich beobachtet werden kann. Auf diese Weise entsteht eine Informationsgrundlage, die im Bedarfsfall eine frühzeitige und zielgerichtete Steuerung</w:t>
      </w:r>
      <w:r w:rsidRPr="00931AD9">
        <w:rPr>
          <w:rFonts w:ascii="Calibri" w:hAnsi="Calibri"/>
          <w:b/>
          <w:bCs/>
        </w:rPr>
        <w:t xml:space="preserve"> </w:t>
      </w:r>
      <w:r w:rsidRPr="00931AD9">
        <w:rPr>
          <w:rFonts w:ascii="Calibri" w:hAnsi="Calibri"/>
          <w:bCs/>
        </w:rPr>
        <w:t>geeigneter Unterstützungs- und Fördermaßnahmen sowohl während der Schulphase als auch beim Übergang von der Schule in den Beruf ermöglicht.</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anderen müssen weitere Qualifizierungsmaßnahmen durchlaufen. Damit der erfolgreiche Übergang von der Schule in die Ausbildung und in den Beruf gelingt, bedarf es also besonderer Anstrengungen, und zwar nicht nur der jungen Menschen selbst. Insbesondere Unternehmen, aber auch die Stadt Leverkusen und viele gemeinnützige Organisationen engagieren sich in Leverkusen für sogenannte „besondere Personengruppen des Arbeitsmarkts“. Dabei handelt es sich in erster Linie um Menschen, die aus unterschiedlichen Gründen nicht so leicht in eine Ausbildungsstelle oder eine Berufstätigkeit finden. Bundesweit zu den Vorreitern in Sachen unternehmerisches Engagement für die Zielgruppen gehört dabei der Bayer-Konzern mit seinem Programm „Starthilfe“. Dabei handelt es sich um ein sehr erfolgreiches Projekt, das ein Jahr dauert und in dem Schülerinnen und Schüler die Chance bekommen, Qualifizierungsdefizite durch theoretische und praktische Übungen auszugleichen. Am Ende beginnen laut Unternehmensangaben 85 Prozent der Teilnehmenden eine Ausbildung, innerhalb und außerhalb der Bayer AG. Und auch die Arbeitsgemeinschaft Leverkusen (AGL), die Stadt und die freien Träger entwickeln immer wieder zahlreiche Modellprojekte, um die berufliche Integration junger Menschen zu fördern. Beispielsweise werden in Rheindorf-Nord die „Ärmel hochgekrempelt“, um im Wege einer Gemeinschaftsinitiative von Akteuren aus Wirtschaft und Gesellschaft etwas für junge Erwachsene mit Vermittlungshemmnissen zu unternehmen, was über Einzelförderung hinaus geht. Im Rahmen der Stadtentwicklungsmaßnahme „Soziale Stadt Rheindorf-Nord“ werden zielgerichtete Aktivitäten umgesetzt. Eine Kompetenzanalyse etwa hilft Schülerinnen und Schülern dabei, sich zunächst einmal die richtige berufliche Orientierung anzueignen und realistische Berufsvorstellungen zu erwerben. Außerdem erhalten junge Mütter die Möglichkeit, eine Teilzeitausbildung zu absolvieren. Damit wird für sie die Brücke zwischen Familie und Beruf geschlagen. Ein anderes Projekt ist die „Integrationswerkstatt“ im Grundbildungszentrum der Volkshochschule. Mit dieser Maßnahme werden vor allem Migrantinnen und Migranten angesprochen, deren Alltagskompetenz gefördert wird. In solchen und anderen Projekten wird Jugendlichen die Chance eröffnet, die Anforderungen des Berufslebens zu erlernen.</w:t>
      </w:r>
    </w:p>
    <w:p w:rsidR="007A1EF5" w:rsidRDefault="007A1EF5">
      <w:pPr>
        <w:spacing w:line="360" w:lineRule="auto"/>
        <w:jc w:val="both"/>
        <w:rPr>
          <w:rFonts w:ascii="Calibri" w:hAnsi="Calibri" w:cs="Arial"/>
        </w:rPr>
      </w:pPr>
      <w:r>
        <w:rPr>
          <w:rFonts w:ascii="Calibri" w:hAnsi="Calibri" w:cs="Arial"/>
        </w:rPr>
        <w:t>Bei der beruflichen Integration junger Menschen handelt es sich somit neben der frühen Förderung von Kindern um ein weiteres wichtiges Aufgabenfeld, in dem sich die Stadt Leverkusen zusammen mit ihren Partnern aus Wirtschaft und Gesellschaft überaus stark engagiert. Neben dem CampusLeverkusen, der hochqualifizierte Absolventinnen und Absolventen in die Stadt bringt, wird auf der anderen Seite Bildung mit Beschäftigungsförderung und beruflicher Integration verknüpft. Sozialer Zusammenhalt und soziale Teilhabe bleiben auf diese Weise keine leeren Zielvorstellungen, sondern werden ganz praktisch mit Leben gefüllt.</w:t>
      </w:r>
    </w:p>
    <w:p w:rsidR="007A1EF5" w:rsidRDefault="007A1EF5" w:rsidP="00842B8D">
      <w:pPr>
        <w:pStyle w:val="ListParagraph"/>
        <w:spacing w:line="360" w:lineRule="auto"/>
        <w:ind w:left="0"/>
        <w:jc w:val="both"/>
        <w:rPr>
          <w:rFonts w:ascii="Calibri" w:hAnsi="Calibri" w:cs="Arial"/>
        </w:rPr>
      </w:pPr>
    </w:p>
    <w:p w:rsidR="007A1EF5" w:rsidRDefault="007A1EF5">
      <w:pPr>
        <w:spacing w:line="360" w:lineRule="auto"/>
        <w:jc w:val="both"/>
        <w:rPr>
          <w:rFonts w:ascii="Calibri" w:hAnsi="Calibri" w:cs="Arial"/>
        </w:rPr>
      </w:pPr>
    </w:p>
    <w:p w:rsidR="007A1EF5" w:rsidRDefault="007A1EF5">
      <w:pPr>
        <w:pStyle w:val="ListParagraph"/>
        <w:numPr>
          <w:ilvl w:val="0"/>
          <w:numId w:val="33"/>
          <w:numberingChange w:id="48" w:author="STV-50-VOGT" w:date="2010-03-17T17:16:00Z" w:original=""/>
        </w:numPr>
        <w:spacing w:line="360" w:lineRule="auto"/>
        <w:jc w:val="both"/>
        <w:rPr>
          <w:rFonts w:ascii="Calibri" w:hAnsi="Calibri" w:cs="Arial"/>
        </w:rPr>
      </w:pPr>
      <w:r>
        <w:rPr>
          <w:rFonts w:ascii="Calibri" w:hAnsi="Calibri" w:cs="Arial"/>
        </w:rPr>
        <w:t>Weiterbildung und Kulturelle Förderung</w:t>
      </w:r>
    </w:p>
    <w:p w:rsidR="007A1EF5" w:rsidRDefault="007A1EF5">
      <w:pPr>
        <w:spacing w:line="360" w:lineRule="auto"/>
        <w:jc w:val="both"/>
        <w:rPr>
          <w:rFonts w:ascii="Calibri" w:hAnsi="Calibri" w:cs="Arial"/>
        </w:rPr>
      </w:pPr>
      <w:r>
        <w:rPr>
          <w:rFonts w:ascii="Calibri" w:hAnsi="Calibri" w:cs="Arial"/>
        </w:rPr>
        <w:t>Will man gelingende oder gefährdete soziale Teilhabe als eine subjektiv erlebte Erfahrung von Individuen verstehen, so muss man neben der formalen (auf den Erwerb von Abschlüssen gerichteten) Bildung auch vorhandene kulturelle Teilhabeformen berücksichtigen. Dies umschließt zum einen den Erwerb von kulturellen Fähigkeiten wie zum Beispiel der Sprache oder der praktischen Qualifikation. Zum anderen steht kulturelle Teilhabe für die Orientierung an gesellschaftlich allgemein anerkannten Lebenszielen und den institutionalisierten Mitteln zur Zielerreichung. Es geht dabei um die Frage, ob eine bestimmte Lebensweise Ziele und Normen in einer Stadt vorgibt, oder ob verschiedene kulturelle Leitmilieus nebeneinander existieren, ob vielleicht sogar „falsche Vorbilder“ hervorgebracht werden, die Lebensmuster negativ verstärken. In diesem Sinne muss eine integrierte Sozialberichterstattung künftig auch kulturelle Potenziale einer Stadt darstellen und soziale Ungleichheit etwa beim Zugang zu kulturellen Angeboten wie Volkshochschule, Musikschule, Kunstgruppen, Bibliotheken, Einrichtungen der Familienbildung und so weiter aufzeigen.</w:t>
      </w:r>
    </w:p>
    <w:p w:rsidR="007A1EF5" w:rsidRDefault="007A1EF5">
      <w:pPr>
        <w:spacing w:line="360" w:lineRule="auto"/>
        <w:rPr>
          <w:rFonts w:ascii="Calibri" w:hAnsi="Calibri" w:cs="Arial"/>
          <w:highlight w:val="cyan"/>
        </w:rPr>
      </w:pPr>
    </w:p>
    <w:p w:rsidR="007A1EF5" w:rsidRDefault="007A1EF5">
      <w:pPr>
        <w:spacing w:line="360" w:lineRule="auto"/>
        <w:rPr>
          <w:rFonts w:ascii="Calibri" w:hAnsi="Calibri" w:cs="Arial"/>
          <w:highlight w:val="cyan"/>
        </w:rPr>
      </w:pPr>
    </w:p>
    <w:p w:rsidR="007A1EF5" w:rsidRPr="00FF09C0" w:rsidRDefault="007A1EF5">
      <w:pPr>
        <w:pBdr>
          <w:bottom w:val="single" w:sz="4" w:space="1" w:color="auto"/>
        </w:pBdr>
        <w:spacing w:line="360" w:lineRule="auto"/>
        <w:rPr>
          <w:rFonts w:ascii="Calibri" w:hAnsi="Calibri" w:cs="Arial"/>
          <w:b/>
        </w:rPr>
      </w:pPr>
      <w:r>
        <w:rPr>
          <w:rFonts w:ascii="Calibri" w:hAnsi="Calibri" w:cs="Arial"/>
          <w:b/>
          <w:sz w:val="28"/>
          <w:szCs w:val="28"/>
        </w:rPr>
        <w:br w:type="page"/>
      </w:r>
      <w:r w:rsidRPr="00FF09C0">
        <w:rPr>
          <w:rFonts w:ascii="Calibri" w:hAnsi="Calibri" w:cs="Arial"/>
          <w:b/>
        </w:rPr>
        <w:t>(6) Handlungsfeld Gesundheit und Pflege</w:t>
      </w:r>
    </w:p>
    <w:p w:rsidR="007A1EF5" w:rsidRDefault="007A1EF5">
      <w:pPr>
        <w:spacing w:line="360" w:lineRule="auto"/>
        <w:rPr>
          <w:rFonts w:ascii="Calibri" w:hAnsi="Calibri" w:cs="Arial"/>
          <w:highlight w:val="cyan"/>
        </w:rPr>
      </w:pPr>
    </w:p>
    <w:p w:rsidR="007A1EF5" w:rsidRDefault="007A1EF5">
      <w:pPr>
        <w:spacing w:line="360" w:lineRule="auto"/>
        <w:jc w:val="both"/>
        <w:rPr>
          <w:rFonts w:ascii="Calibri" w:hAnsi="Calibri" w:cs="Arial"/>
        </w:rPr>
      </w:pPr>
      <w:r>
        <w:rPr>
          <w:rFonts w:ascii="Calibri" w:hAnsi="Calibri" w:cs="Arial"/>
        </w:rPr>
        <w:t>Mit Blick auf das Handlungsfeld Gesundheit besteht eine der wesentlichen Herausforderungen für die Stadt Leverkusen darin, wirksame Ansätze für Gesundheitsförderung etwa in Betreuungs- und Bildungseinrichtungen zu etablieren. Dazu ist es notwendig mehr darüber zu erfahren, welche konkreten Defizite in der Gesundheitsentwicklung von Kindern und Familien bestehen. Im Wege der integrierten Sozialberichterstattung kann das sehr differenzierte und komplexe Handlungsfeld nicht angemessen abgebildet werden. Daher bedarf es einer eigenständigen Gesundheitsberichterstattung zu fachlichen Themen mit vorrangiger Bedeutung (Suchterkrankungen, psychosoziale Erkrankungen, Kindergesundheit) und losgelöst von Fragestellungen allgemeinen Interesses. An dieser Stelle beschränkt sich die Berichterstattung daher auf wenige zentrale Aussagen zur Lebenssituation in der Stadt. Für die künftige Sozialberichterstattung sollten für das Handlungsfeld Gesundheit und Pflege Standards definiert werden, die in das Sozialmonitoring einfließen.</w:t>
      </w:r>
    </w:p>
    <w:p w:rsidR="007A1EF5" w:rsidRDefault="007A1EF5">
      <w:pPr>
        <w:spacing w:line="360" w:lineRule="auto"/>
        <w:rPr>
          <w:rFonts w:ascii="Calibri" w:hAnsi="Calibri" w:cs="Arial"/>
          <w:highlight w:val="cyan"/>
        </w:rPr>
      </w:pPr>
    </w:p>
    <w:p w:rsidR="007A1EF5" w:rsidRDefault="007A1EF5">
      <w:pPr>
        <w:pStyle w:val="ListParagraph"/>
        <w:numPr>
          <w:ilvl w:val="0"/>
          <w:numId w:val="33"/>
          <w:numberingChange w:id="49" w:author="STV-50-VOGT" w:date="2010-03-17T17:16:00Z" w:original=""/>
        </w:numPr>
        <w:spacing w:line="360" w:lineRule="auto"/>
        <w:rPr>
          <w:rFonts w:ascii="Calibri" w:hAnsi="Calibri" w:cs="Arial"/>
        </w:rPr>
      </w:pPr>
      <w:r>
        <w:rPr>
          <w:rFonts w:ascii="Calibri" w:hAnsi="Calibri" w:cs="Arial"/>
        </w:rPr>
        <w:t>Allgemeiner Gesundheitszustand und Versorgungsstruktur</w:t>
      </w:r>
    </w:p>
    <w:p w:rsidR="007A1EF5" w:rsidRDefault="007A1EF5">
      <w:pPr>
        <w:spacing w:line="360" w:lineRule="auto"/>
        <w:jc w:val="both"/>
        <w:rPr>
          <w:rFonts w:ascii="Calibri" w:hAnsi="Calibri" w:cs="Arial"/>
        </w:rPr>
      </w:pPr>
      <w:r>
        <w:rPr>
          <w:rFonts w:ascii="Calibri" w:hAnsi="Calibri" w:cs="Arial"/>
        </w:rPr>
        <w:t>Die statistische mittlere Lebenserwartung von Frauen liegt nach Berechnungen des Bundesamtes für Bauwesen und Raumordnung in Leverkusen derzeit bei 81,1 Lebensjahren und ist damit leicht höher als bei Männern 76,6 Jahre. Sowohl bei Männern als auch bei Frauen liegt Leverkusen im Vergleich aller Kreise und kreisfreien Städte in Deutschland im Mittel. Bei Frauen ist die Lebenserwartung vergleichsweise kürzer (bundesweit 81,5 Lebensjahre) und bei Männern vergleichsweise länger (bundesweit 75,6 Jahre). Im Rahmen einer Gesundheitsberichterstattung wären die Relevanz und Ursachen der Aussagen zu erforschen.</w:t>
      </w:r>
    </w:p>
    <w:p w:rsidR="007A1EF5" w:rsidRDefault="007A1EF5">
      <w:pPr>
        <w:spacing w:line="360" w:lineRule="auto"/>
        <w:jc w:val="both"/>
        <w:rPr>
          <w:rFonts w:ascii="Calibri" w:hAnsi="Calibri" w:cs="Arial"/>
        </w:rPr>
      </w:pPr>
      <w:r>
        <w:rPr>
          <w:rFonts w:ascii="Calibri" w:hAnsi="Calibri" w:cs="Arial"/>
        </w:rPr>
        <w:t>Die Versorgungsstruktur mit medizinischen Dienstleistungen ist in Leverkusen überdurchschnittlich gut. Im Jahr 2007 gab es je 100.000 Einwohner 225 niedergelassene Haus- und Fachärzte. Damit liegt Leverkusen deutlich über dem Landesdurchschnitt von 155 Ärzten. Im Ranking des Bundesamtes für Bauwesen und Raumordnung für alle Kreise und kreisfreien Städte belegt Leverkusen den 57. Platz. Auch bei der stationären Versorgung weist Leverkusen gegenüber anderen Kreisen und kreisfreien Städten vergleichsweise gute Werte auf. Je 10.000 Einwohner stehen 68 Krankenhausbetten zur Verfügung (165. Platz), allerdings liegt der Landeswert für Nordrhein-Westfalen mit 71 leicht darüber. Handlungsbedarf besteht im Hinblick auf die psychosoziale Versorgung von Kindern und Jugendlichen. Derzeit gibt es keinen Kinder- und Jugendpsychiater in Leverkusen. Kinder und Jugendliche, die einer medizinisch fundierten psychiatrischen Behandlung bedürfen, müssen daher auf die Angebote in Nachbarstädten zurückgreifen.</w:t>
      </w:r>
    </w:p>
    <w:p w:rsidR="007A1EF5" w:rsidRDefault="007A1EF5">
      <w:pPr>
        <w:pStyle w:val="ListParagraph"/>
        <w:ind w:left="0"/>
        <w:rPr>
          <w:rFonts w:ascii="Calibri" w:hAnsi="Calibri" w:cs="Arial"/>
        </w:rPr>
      </w:pPr>
    </w:p>
    <w:p w:rsidR="007A1EF5" w:rsidRDefault="007A1EF5">
      <w:pPr>
        <w:pStyle w:val="ListParagraph"/>
        <w:numPr>
          <w:ilvl w:val="0"/>
          <w:numId w:val="33"/>
          <w:numberingChange w:id="50" w:author="STV-50-VOGT" w:date="2010-03-17T17:16:00Z" w:original=""/>
        </w:numPr>
        <w:spacing w:line="360" w:lineRule="auto"/>
        <w:rPr>
          <w:rFonts w:ascii="Calibri" w:hAnsi="Calibri" w:cs="Arial"/>
        </w:rPr>
      </w:pPr>
      <w:r>
        <w:rPr>
          <w:rFonts w:ascii="Calibri" w:hAnsi="Calibri" w:cs="Arial"/>
        </w:rPr>
        <w:t>Inanspruchnahme Früherkennungsuntersuchung U1-U9</w:t>
      </w:r>
    </w:p>
    <w:p w:rsidR="007A1EF5" w:rsidRDefault="007A1EF5">
      <w:pPr>
        <w:spacing w:line="360" w:lineRule="auto"/>
        <w:jc w:val="both"/>
        <w:rPr>
          <w:rFonts w:ascii="Calibri" w:hAnsi="Calibri" w:cs="Arial"/>
          <w:highlight w:val="cyan"/>
        </w:rPr>
      </w:pPr>
      <w:r>
        <w:rPr>
          <w:rFonts w:ascii="Calibri" w:hAnsi="Calibri" w:cs="Arial"/>
        </w:rPr>
        <w:t>Die Inanspruchnahme von Früherkennungsuntersuchungen für Kinder (sogenannte U1 bis U9-Untersuchungen) ist in den Jahren zwischen 2002 und 2006 von 80,6 Prozent auf 86 Prozent angestiegen. Eine räumliche Differenzierung zeigt, dass sich über das Stadtgebiet verteilt deutliche Unterschiede ergeben. Im Stadtteil Küppersteg beispielsweise lag die Teilnahmequote im Jahr 2006 bei 94,6 Prozent. In Manfort waren es 90,8 Prozent aller Kinder, in Rheindorf dagegen nur 78,5 Prozent, die sich der Untersuchung unterzogen haben. Ermittelt wurde dies auf Basis der Schuleingangsuntersuchung, an der im Jahr 2006, 1.493 Kinder teilnahmen.</w:t>
      </w:r>
    </w:p>
    <w:p w:rsidR="007A1EF5" w:rsidRDefault="007A1EF5">
      <w:pPr>
        <w:spacing w:line="360" w:lineRule="auto"/>
        <w:rPr>
          <w:rFonts w:ascii="Calibri" w:hAnsi="Calibri" w:cs="Arial"/>
          <w:highlight w:val="cyan"/>
        </w:rPr>
      </w:pPr>
      <w:r>
        <w:rPr>
          <w:noProof/>
        </w:rPr>
        <w:pict>
          <v:shape id="_x0000_s1056" type="#_x0000_t202" style="position:absolute;margin-left:194.15pt;margin-top:166.35pt;width:63pt;height:17.9pt;z-index:251664384" filled="f" stroked="f">
            <v:textbox style="mso-next-textbox:#_x0000_s1056">
              <w:txbxContent>
                <w:p w:rsidR="007A1EF5" w:rsidRPr="00931AD9" w:rsidRDefault="007A1EF5">
                  <w:pPr>
                    <w:rPr>
                      <w:sz w:val="16"/>
                      <w:szCs w:val="16"/>
                    </w:rPr>
                  </w:pPr>
                  <w:r w:rsidRPr="00931AD9">
                    <w:rPr>
                      <w:sz w:val="16"/>
                      <w:szCs w:val="16"/>
                    </w:rPr>
                    <w:t>Abbildung</w:t>
                  </w:r>
                  <w:r>
                    <w:rPr>
                      <w:sz w:val="16"/>
                      <w:szCs w:val="16"/>
                    </w:rPr>
                    <w:t xml:space="preserve"> 30</w:t>
                  </w:r>
                </w:p>
              </w:txbxContent>
            </v:textbox>
          </v:shape>
        </w:pict>
      </w:r>
      <w:r w:rsidRPr="00DD0F19">
        <w:rPr>
          <w:rFonts w:ascii="Calibri" w:hAnsi="Calibri" w:cs="Arial"/>
          <w:noProof/>
        </w:rPr>
        <w:object w:dxaOrig="9159" w:dyaOrig="3360">
          <v:shape id="Objekt 23" o:spid="_x0000_i1054" type="#_x0000_t75" style="width:458.25pt;height:168pt;visibility:visible" o:ole="">
            <v:imagedata r:id="rId61" o:title="" cropbottom="-78f"/>
            <o:lock v:ext="edit" aspectratio="f"/>
          </v:shape>
          <o:OLEObject Type="Embed" ProgID="Excel.Chart.8" ShapeID="Objekt 23" DrawAspect="Content" ObjectID="_1330351654" r:id="rId62"/>
        </w:object>
      </w:r>
    </w:p>
    <w:p w:rsidR="007A1EF5" w:rsidRDefault="007A1EF5">
      <w:pPr>
        <w:spacing w:line="360" w:lineRule="auto"/>
        <w:jc w:val="both"/>
        <w:rPr>
          <w:rFonts w:ascii="Calibri" w:hAnsi="Calibri" w:cs="Arial"/>
        </w:rPr>
      </w:pPr>
      <w:r>
        <w:rPr>
          <w:rFonts w:ascii="Calibri" w:hAnsi="Calibri" w:cs="Arial"/>
        </w:rPr>
        <w:t>Öffentliche Gesundheitsförderung erfüllt, nicht nur im Hinblick auf sozial benachteiligte Kinder und Familien, häufig eine wichtige kompensatorische Aufgabe. Defizite, die an anderer Stelle hervorgerufen werden, wird in Leverkusen durch eine Vielzahl von Projekten begegnet. Dabei sind unterschiedliche Phänomene nebeneinander zu betrachten. Nach Längsschnitterhebungen des Medizinischen Dienstes sind zwar Adipositas und Übergewicht in den letzten Jahren rückläufig, dafür liegt ein kompletter Impfschutz nur bei sieben von zehn Leverkusener Kindern vor. Die Zahl der Sprachentwicklungsstörungen bei Kindern aus Familien mit Migrationshintergrund steigt. Nach den Sprachstanderhebungen, die zum dritten Mal in NRW durchgeführt worden sind, haben 26,6 Prozent aller 1.584 getesteten Kinder, die zum Schuljahr 2011/2012 schulpflichtig werden, einen zusätzlichen Förderbedarf. Die Zahngesundheit lässt deutlich zu wüschen übrig, denn jedes vierte Kind in Kindertageseinrichtungen hat Karies. Statistische Auffälligkeiten ergeben sich auch beim Untergewicht. So waren in Rheindorf im Jahr der Untersuchung 27,1 Prozent aller Einschulkinder untergewichtig.</w:t>
      </w:r>
    </w:p>
    <w:p w:rsidR="007A1EF5" w:rsidRDefault="007A1EF5">
      <w:pPr>
        <w:spacing w:line="360" w:lineRule="auto"/>
        <w:jc w:val="both"/>
        <w:rPr>
          <w:rFonts w:ascii="Calibri" w:hAnsi="Calibri" w:cs="Arial"/>
        </w:rPr>
      </w:pPr>
      <w:r>
        <w:rPr>
          <w:rFonts w:ascii="Calibri" w:hAnsi="Calibri" w:cs="Arial"/>
        </w:rPr>
        <w:t>Schwerpunktmäßig werden derzeit Projekte im Bereich der Ernährungs- und Bewegungsförderung für Kinder und Jugendliche wie auch im Feld der Gesundheitsprävention älterer Menschen umgesetzt.</w:t>
      </w:r>
    </w:p>
    <w:p w:rsidR="007A1EF5" w:rsidRDefault="007A1EF5">
      <w:pPr>
        <w:spacing w:line="360" w:lineRule="auto"/>
        <w:rPr>
          <w:rFonts w:ascii="Calibri" w:hAnsi="Calibri" w:cs="Arial"/>
          <w:highlight w:val="cyan"/>
        </w:rPr>
      </w:pPr>
    </w:p>
    <w:p w:rsidR="007A1EF5" w:rsidRDefault="007A1EF5">
      <w:pPr>
        <w:numPr>
          <w:ilvl w:val="0"/>
          <w:numId w:val="33"/>
          <w:numberingChange w:id="51" w:author="STV-50-VOGT" w:date="2010-03-17T17:16:00Z" w:original=""/>
        </w:numPr>
        <w:spacing w:line="360" w:lineRule="auto"/>
        <w:outlineLvl w:val="1"/>
        <w:rPr>
          <w:rFonts w:ascii="Calibri" w:hAnsi="Calibri" w:cs="Arial"/>
        </w:rPr>
      </w:pPr>
      <w:bookmarkStart w:id="52" w:name="_Toc205633889"/>
      <w:r>
        <w:rPr>
          <w:rFonts w:ascii="Calibri" w:hAnsi="Calibri" w:cs="Arial"/>
        </w:rPr>
        <w:t>Pflege</w:t>
      </w:r>
    </w:p>
    <w:p w:rsidR="007A1EF5" w:rsidRDefault="007A1EF5">
      <w:pPr>
        <w:spacing w:line="360" w:lineRule="auto"/>
        <w:jc w:val="both"/>
        <w:outlineLvl w:val="1"/>
        <w:rPr>
          <w:rFonts w:ascii="Calibri" w:hAnsi="Calibri" w:cs="Arial"/>
        </w:rPr>
      </w:pPr>
      <w:r>
        <w:rPr>
          <w:rFonts w:ascii="Calibri" w:hAnsi="Calibri" w:cs="Arial"/>
        </w:rPr>
        <w:t>Angesichts der demografischen Entwicklung und des immer stärkeren Unterschieds zwischen Einnahmen und Ausgaben im Bereich der Pflege steht die Stadt Leverkusen vor neuen Herausforderungen. Ganz besonders gilt dies mit Blick auf die gestiegene Lebenserwartung sowie das damit einhergehende zunehmende Risiko der Pflegebedürftigkeit. Die Anzahl der älteren Bevölkerung nimmt zu. Heute liegt Leverkusen mit einem Anteil der Über-65-Jährigen von 26,4 Prozent genau einen Prozentpunkt über dem landesstatistischen Mittelwert von 25,4 Prozent in kreisfreien Städten. Nach einer Prognose des statistischen Landesamts wird der Anteil gegenüber im Jahr 2025 bei 32,4 Prozent liegen. Dies bedeutet einen Zuwachs in der Altersgruppe um 22,7 Prozent (absolute Zahl: ca. 12.000 Personen) bei einem gleichzeitig erwarten Rückgang der Bevölkerung um etwa drei Prozent (absolut: ca. 5.000 Personen). Deutlich wird gegenüber den demografischen Basisdaten, dass der Anteil der Bevölkerung ab 65 Jahren an der Gesamtbevölkerung in Leverkusen überdurchschnittlich wächst als in anderen Kommunen. Die längere Lebenserwartung und die zunehmende Zahl älterer Menschen bedeutet, dass Angebotsstrukturen der kommunalen Altenhilfe und Pflege angepasst werden müssen. Der Verbleib von älteren Menschen im häuslichen Umfeld ist zu fördern, nachbarschaftliche Unterstützungsnetzwerke und geeignete Wohnformen sind zu entwickeln und zu etablieren genauso wie präventive und gezielte Versorgungsleistungen für bestimmte Personengruppen, beispielsweise hinsichtlich der erwarteten Zunahme von Demenzstörungen. Die Stadt Leverkusen hat hier mit dem Konzept „wirkungsorientierte Steuerung in der kommunalen Altenhilfe“ frühzeitig begonnen, sich den Herausforderungen der nächsten Jahrzehnte zu stellen. Der kleinräumige Ansatz bei der Ermittlung von Bedarfen und Entwicklungen von Lösungen wird auch im Rahmen der Sozialberichterstattung konsequent fortgeführt. Diese wird in den Dienst stadtteilbezogener pflegerischer, hauswirtschaftlicher und sozial integrativer Versorgungsangebote gestellt. Gerichtet auf das Prinzip der sozialen Teilhabe sind dabei allerdings trotz finanzwirtschaftlicher Erfordernisse gleichermaßen die Bedürfnisse älterer Menschen möglichst weitgehend zu berücksichtigen.</w:t>
      </w:r>
    </w:p>
    <w:p w:rsidR="007A1EF5" w:rsidRDefault="007A1EF5">
      <w:pPr>
        <w:spacing w:line="360" w:lineRule="auto"/>
        <w:jc w:val="both"/>
        <w:outlineLvl w:val="1"/>
        <w:rPr>
          <w:rFonts w:ascii="Calibri" w:hAnsi="Calibri" w:cs="Arial"/>
        </w:rPr>
      </w:pPr>
      <w:r>
        <w:rPr>
          <w:rFonts w:ascii="Calibri" w:hAnsi="Calibri" w:cs="Arial"/>
        </w:rPr>
        <w:t>Die Pflegestatistik zeigt für die Stadt Leverkusen im Jahr 2007 einen Anstieg an pflegebedürftigen Personen um fast 30 Prozent gegenüber dem Jahr 2005. In absoluten Zahlen sind dies nahe 1.000 Menschen. Ein wesentlicher Grund dafür liegt in der statistischen Erfassung. Denn von insgesamt 4.707 Pflegebedürftigen nahm die Hälfte eine sogenannte „selbst beschaffte Pflege“ etwa durch Angehörige in Anspruch und erhielt Pflegegeld zur Haushaltsunterstützung. 70,9 Prozent aller Pflegebedürftigen wurde zuhause betreut und versorgt. Im ambulanten und stationären Pflegebereich stieg der Anteil jedoch auch um 10 Prozent gegenüber dem voran gegangenen Erfassungszeitpunkt.</w:t>
      </w:r>
    </w:p>
    <w:p w:rsidR="007A1EF5" w:rsidRDefault="007A1EF5">
      <w:pPr>
        <w:spacing w:line="360" w:lineRule="auto"/>
        <w:jc w:val="both"/>
        <w:outlineLvl w:val="1"/>
        <w:rPr>
          <w:rFonts w:ascii="Calibri" w:hAnsi="Calibri" w:cs="Arial"/>
        </w:rPr>
      </w:pPr>
      <w:r>
        <w:rPr>
          <w:rFonts w:ascii="Calibri" w:hAnsi="Calibri" w:cs="Arial"/>
        </w:rPr>
        <w:t>Die Dichte der Pflegeplätze liegt in Leverkusen gegenwärtig bei 8,0 Plätzen je tausend Einwohner. Im Vergleich zu anderen Städten ist die Pflegeplatzdichte damit sehr gering, obschon der Bedarf an stationären und ambulanten Dienstleistungen gedeckt ist. Bei der Anzahl der Leistungsempfänger von Hilfe zur Pflege liegt die Stadt Leverkusen auf dem landesweit niedrigsten Level, und auch der öffentliche Zuschussbedarf ist in keiner anderen Stadt in Nordrhein-Westfalen geringer. Die Gründe dafür sind vor allem in der sehr starken Kaufkraft der älteren Bevölkerung Leverkusens zu sehen (vgl. Handlungsfeld Einkommen und Einkommensersatzleistungen). Insgesamt bestätigt die Statistik ein angemessenes und wirksames Konzept der pflegerischen Versorgung. Das Angebot klassischer und innovativer Pflege deckt den vorhandenen Bedarf mittelfristig ab.</w:t>
      </w:r>
    </w:p>
    <w:p w:rsidR="007A1EF5" w:rsidRPr="00FF09C0" w:rsidRDefault="007A1EF5">
      <w:pPr>
        <w:pBdr>
          <w:bottom w:val="single" w:sz="4" w:space="1" w:color="auto"/>
        </w:pBdr>
        <w:spacing w:line="360" w:lineRule="auto"/>
        <w:outlineLvl w:val="1"/>
        <w:rPr>
          <w:rFonts w:ascii="Calibri" w:hAnsi="Calibri" w:cs="Arial"/>
          <w:b/>
        </w:rPr>
      </w:pPr>
      <w:r>
        <w:rPr>
          <w:rFonts w:ascii="Calibri" w:hAnsi="Calibri" w:cs="Arial"/>
          <w:b/>
          <w:sz w:val="28"/>
          <w:szCs w:val="28"/>
          <w:highlight w:val="cyan"/>
        </w:rPr>
        <w:br w:type="page"/>
      </w:r>
      <w:r w:rsidRPr="00FF09C0">
        <w:rPr>
          <w:rFonts w:ascii="Calibri" w:hAnsi="Calibri" w:cs="Arial"/>
          <w:b/>
        </w:rPr>
        <w:t>(7) Handlungsfeld Politische Beteiligung</w:t>
      </w:r>
    </w:p>
    <w:p w:rsidR="007A1EF5" w:rsidRDefault="007A1EF5">
      <w:pPr>
        <w:spacing w:line="360" w:lineRule="auto"/>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Angesichts der grundlegenden Bedeutung, die eine Bereitschaft zur politischen Beteiligung für das demokratische Gemeinwesen besitzt, hat die Politik die Aufgabe, das Bewusstsein insbesondere in „wahlmüden“ Stadtteilen gezielt zu stärken. Nicht immer, aber augenfällig häufig handelt es sich dabei um Stadtteile mit einem hohen Anteil an sozial benachteiligten Bevölkerungsgruppen. Diese Bevölkerungsgruppen mit geeigneten Verfahren in den Mitgestaltungsprozess einzubinden, ist die wichtigste Herausforderung für eine demokratische Stadt. Dabei sind Quoten der Wahlbeteiligung nur der Maßstab, nicht aber das Mittel für mehr Beteiligungsbereitschaft. Vor allem auf unmittelbare Gegenseitigkeit abzielende Instrumente, wie etwa Bürgerarbeit oder sogenannte „Selbermachprojekte“ (Strohmeier 2006) machen Betroffene zu Beteiligten und fördern damit deren Selbstwertgefüge. Nicht klassische Beteiligungsverfahren in Form von Runden Tischen sind gefragt, sondern Aktionen, die unmittelbar für die Betroffenen sichtbare Ergebnisse hervorrufen, wie zum Beispiel die Beteiligung am Umbau von öffentlichen Einrichtungen oder Plätzen. Im Rahmen des ESF-geförderten Projekts „Ärmel hochkrempeln für Rheindorf-Nord“ werden in Leverkusen erstmals solche neuartigen Beteiligungsformen erprobt. Aus gesamtstädtischer Sicht ist hier ein langer Atem gefragt, der jedoch alternativlos ist.</w:t>
      </w:r>
    </w:p>
    <w:p w:rsidR="007A1EF5" w:rsidRDefault="007A1EF5">
      <w:pPr>
        <w:spacing w:line="360" w:lineRule="auto"/>
        <w:jc w:val="both"/>
        <w:rPr>
          <w:rFonts w:ascii="Calibri" w:hAnsi="Calibri" w:cs="Arial"/>
        </w:rPr>
      </w:pPr>
      <w:r>
        <w:rPr>
          <w:rFonts w:ascii="Calibri" w:hAnsi="Calibri" w:cs="Arial"/>
        </w:rPr>
        <w:t>Wenn soziale Ungleichheit dazu führt, dass Personen und Personengruppen ihre Lebensvorstellungen überhaupt nicht mehr verwirklichen können, dadurch in der individuellen Betrachtung ihre Lebensqualität ein akzeptables Maß des gesellschaftlichen Wohlstands unterschreitet und gemeinschaftlicher Betrachtung der gesellschaftliche Zusammenhalt gefährdet ist, dann ist Aufmerksamkeit angezeigt. Deshalb fragt Sozialberichterstattung nach der Lage von Personen oder Personengruppen und ihren Beziehungen zur Gesellschaft. Die Erfassung der Veränderungen auf dieser Ebene ermöglicht einen Rückschluss auf die Qualität der Gesellschaft. Da die Individuen die kleinsten sozialen Einheiten sind, folgen gesellschaftliche Entwicklungen stets dem Ergebnis des Verhaltens dieser Einheiten.</w:t>
      </w:r>
    </w:p>
    <w:p w:rsidR="007A1EF5" w:rsidRDefault="007A1EF5">
      <w:pPr>
        <w:spacing w:line="360" w:lineRule="auto"/>
        <w:jc w:val="both"/>
        <w:rPr>
          <w:rFonts w:ascii="Calibri" w:hAnsi="Calibri" w:cs="Arial"/>
        </w:rPr>
      </w:pPr>
      <w:r>
        <w:rPr>
          <w:rFonts w:ascii="Calibri" w:hAnsi="Calibri" w:cs="Arial"/>
        </w:rPr>
        <w:t>Insbesondere informelle soziale Nahbeziehungen (soziale Netzwerke) gliedern Personen dagegen über persönliche und gegenseitige Wahl oder soziale Verpflichtung ein. Deshalb: Partizipation fördern zu wollen, bedeutet in einem stärkeren Maße Stadtteilarbeit aufzubauen.</w:t>
      </w:r>
    </w:p>
    <w:p w:rsidR="007A1EF5" w:rsidRDefault="007A1EF5">
      <w:pPr>
        <w:spacing w:line="360" w:lineRule="auto"/>
        <w:jc w:val="both"/>
        <w:outlineLvl w:val="1"/>
        <w:rPr>
          <w:rFonts w:ascii="Calibri" w:hAnsi="Calibri" w:cs="Arial"/>
        </w:rPr>
      </w:pPr>
      <w:r>
        <w:rPr>
          <w:rFonts w:ascii="Calibri" w:hAnsi="Calibri" w:cs="Arial"/>
        </w:rPr>
        <w:t>Die Wahlbeteiligung bei den Kommunalwahlen ist in Leverkusen seit 1999 kontinuierlich gesunken und unterschritt bei der letzten Wahl die 50 Prozent-Grenze. Das bedeutet, dass weniger als die Hälfte aller Wahlberechtigten an der Abstimmung über den amtierenden Oberbürgermeister, den Stadtrat und die Bezirksvertretungen teilgenommen haben. Gleiche Entwicklung ist auch bei allen anderen demokratischen Abstimmungen, etwa Bundestagswahlen zu erkennen. Vor allem auffällig sind die Unterschiede zwischen den einzelnen Stadtteilen zu erkennen, die im Zusammenhang mit der Sozialraumanalyse (Kapitel 4) näher betrachtet werden.</w:t>
      </w:r>
    </w:p>
    <w:p w:rsidR="007A1EF5" w:rsidRDefault="007A1EF5">
      <w:pPr>
        <w:spacing w:line="360" w:lineRule="auto"/>
        <w:outlineLvl w:val="1"/>
        <w:rPr>
          <w:rFonts w:ascii="Calibri" w:hAnsi="Calibri" w:cs="Arial"/>
          <w:highlight w:val="cyan"/>
        </w:rPr>
      </w:pPr>
    </w:p>
    <w:tbl>
      <w:tblPr>
        <w:tblW w:w="5500" w:type="dxa"/>
        <w:tblBorders>
          <w:top w:val="single" w:sz="8" w:space="0" w:color="000000"/>
          <w:bottom w:val="single" w:sz="8" w:space="0" w:color="000000"/>
        </w:tblBorders>
        <w:tblLook w:val="0000"/>
      </w:tblPr>
      <w:tblGrid>
        <w:gridCol w:w="1900"/>
        <w:gridCol w:w="1200"/>
        <w:gridCol w:w="1200"/>
        <w:gridCol w:w="1200"/>
      </w:tblGrid>
      <w:tr w:rsidR="007A1EF5">
        <w:trPr>
          <w:trHeight w:val="454"/>
        </w:trPr>
        <w:tc>
          <w:tcPr>
            <w:tcW w:w="1900" w:type="dxa"/>
            <w:tcBorders>
              <w:top w:val="single" w:sz="8" w:space="0" w:color="000000"/>
            </w:tcBorders>
            <w:noWrap/>
          </w:tcPr>
          <w:p w:rsidR="007A1EF5" w:rsidRDefault="007A1EF5">
            <w:pPr>
              <w:rPr>
                <w:rFonts w:ascii="Calibri" w:hAnsi="Calibri"/>
                <w:color w:val="000000"/>
              </w:rPr>
            </w:pPr>
            <w:r>
              <w:rPr>
                <w:rFonts w:ascii="Calibri" w:hAnsi="Calibri"/>
                <w:color w:val="000000"/>
                <w:sz w:val="22"/>
                <w:szCs w:val="22"/>
              </w:rPr>
              <w:t> </w:t>
            </w:r>
          </w:p>
        </w:tc>
        <w:tc>
          <w:tcPr>
            <w:tcW w:w="1200" w:type="dxa"/>
            <w:tcBorders>
              <w:top w:val="single" w:sz="8" w:space="0" w:color="000000"/>
            </w:tcBorders>
            <w:noWrap/>
          </w:tcPr>
          <w:p w:rsidR="007A1EF5" w:rsidRDefault="007A1EF5">
            <w:pPr>
              <w:jc w:val="right"/>
              <w:rPr>
                <w:rFonts w:ascii="Calibri" w:hAnsi="Calibri"/>
                <w:color w:val="000000"/>
              </w:rPr>
            </w:pPr>
            <w:r>
              <w:rPr>
                <w:rFonts w:ascii="Calibri" w:hAnsi="Calibri"/>
                <w:color w:val="000000"/>
                <w:sz w:val="22"/>
                <w:szCs w:val="22"/>
              </w:rPr>
              <w:t>1999</w:t>
            </w:r>
          </w:p>
        </w:tc>
        <w:tc>
          <w:tcPr>
            <w:tcW w:w="1200" w:type="dxa"/>
            <w:tcBorders>
              <w:top w:val="single" w:sz="8" w:space="0" w:color="000000"/>
            </w:tcBorders>
            <w:noWrap/>
          </w:tcPr>
          <w:p w:rsidR="007A1EF5" w:rsidRDefault="007A1EF5">
            <w:pPr>
              <w:jc w:val="right"/>
              <w:rPr>
                <w:rFonts w:ascii="Calibri" w:hAnsi="Calibri"/>
                <w:color w:val="000000"/>
              </w:rPr>
            </w:pPr>
            <w:r>
              <w:rPr>
                <w:rFonts w:ascii="Calibri" w:hAnsi="Calibri"/>
                <w:color w:val="000000"/>
                <w:sz w:val="22"/>
                <w:szCs w:val="22"/>
              </w:rPr>
              <w:t>2004</w:t>
            </w:r>
          </w:p>
        </w:tc>
        <w:tc>
          <w:tcPr>
            <w:tcW w:w="1200" w:type="dxa"/>
            <w:tcBorders>
              <w:top w:val="single" w:sz="8" w:space="0" w:color="000000"/>
            </w:tcBorders>
            <w:noWrap/>
          </w:tcPr>
          <w:p w:rsidR="007A1EF5" w:rsidRDefault="007A1EF5">
            <w:pPr>
              <w:jc w:val="right"/>
              <w:rPr>
                <w:rFonts w:ascii="Calibri" w:hAnsi="Calibri"/>
                <w:bCs/>
                <w:color w:val="000000"/>
              </w:rPr>
            </w:pPr>
            <w:r>
              <w:rPr>
                <w:rFonts w:ascii="Calibri" w:hAnsi="Calibri"/>
                <w:bCs/>
                <w:color w:val="000000"/>
                <w:sz w:val="22"/>
                <w:szCs w:val="22"/>
              </w:rPr>
              <w:t>2009</w:t>
            </w:r>
          </w:p>
        </w:tc>
      </w:tr>
      <w:tr w:rsidR="007A1EF5">
        <w:trPr>
          <w:trHeight w:val="454"/>
        </w:trPr>
        <w:tc>
          <w:tcPr>
            <w:tcW w:w="1900" w:type="dxa"/>
            <w:noWrap/>
          </w:tcPr>
          <w:p w:rsidR="007A1EF5" w:rsidRDefault="007A1EF5">
            <w:pPr>
              <w:rPr>
                <w:rFonts w:ascii="Calibri" w:hAnsi="Calibri"/>
                <w:color w:val="000000"/>
              </w:rPr>
            </w:pPr>
            <w:r>
              <w:rPr>
                <w:rFonts w:ascii="Calibri" w:hAnsi="Calibri"/>
                <w:color w:val="000000"/>
                <w:sz w:val="22"/>
                <w:szCs w:val="22"/>
              </w:rPr>
              <w:t>Wahlberechtigte</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123867</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125708</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126769</w:t>
            </w:r>
          </w:p>
        </w:tc>
      </w:tr>
      <w:tr w:rsidR="007A1EF5">
        <w:trPr>
          <w:trHeight w:val="454"/>
        </w:trPr>
        <w:tc>
          <w:tcPr>
            <w:tcW w:w="1900" w:type="dxa"/>
            <w:tcBorders>
              <w:bottom w:val="single" w:sz="8" w:space="0" w:color="000000"/>
            </w:tcBorders>
            <w:noWrap/>
          </w:tcPr>
          <w:p w:rsidR="007A1EF5" w:rsidRDefault="007A1EF5">
            <w:pPr>
              <w:rPr>
                <w:rFonts w:ascii="Calibri" w:hAnsi="Calibri"/>
                <w:color w:val="000000"/>
              </w:rPr>
            </w:pPr>
            <w:r>
              <w:rPr>
                <w:rFonts w:ascii="Calibri" w:hAnsi="Calibri"/>
                <w:bCs/>
                <w:color w:val="000000"/>
                <w:sz w:val="22"/>
                <w:szCs w:val="22"/>
                <w:u w:val="single"/>
              </w:rPr>
              <w:t>Nicht</w:t>
            </w:r>
            <w:r>
              <w:rPr>
                <w:rFonts w:ascii="Calibri" w:hAnsi="Calibri"/>
                <w:color w:val="000000"/>
                <w:sz w:val="22"/>
                <w:szCs w:val="22"/>
              </w:rPr>
              <w:t>wähler in %</w:t>
            </w:r>
          </w:p>
        </w:tc>
        <w:tc>
          <w:tcPr>
            <w:tcW w:w="1200" w:type="dxa"/>
            <w:tcBorders>
              <w:bottom w:val="single" w:sz="8" w:space="0" w:color="000000"/>
            </w:tcBorders>
            <w:noWrap/>
          </w:tcPr>
          <w:p w:rsidR="007A1EF5" w:rsidRDefault="007A1EF5">
            <w:pPr>
              <w:jc w:val="right"/>
              <w:rPr>
                <w:rFonts w:ascii="Calibri" w:hAnsi="Calibri"/>
                <w:color w:val="000000"/>
              </w:rPr>
            </w:pPr>
            <w:r>
              <w:rPr>
                <w:rFonts w:ascii="Calibri" w:hAnsi="Calibri"/>
                <w:color w:val="000000"/>
                <w:sz w:val="22"/>
                <w:szCs w:val="22"/>
              </w:rPr>
              <w:t>49,2%</w:t>
            </w:r>
          </w:p>
        </w:tc>
        <w:tc>
          <w:tcPr>
            <w:tcW w:w="1200" w:type="dxa"/>
            <w:tcBorders>
              <w:bottom w:val="single" w:sz="8" w:space="0" w:color="000000"/>
            </w:tcBorders>
            <w:noWrap/>
          </w:tcPr>
          <w:p w:rsidR="007A1EF5" w:rsidRDefault="007A1EF5">
            <w:pPr>
              <w:jc w:val="right"/>
              <w:rPr>
                <w:rFonts w:ascii="Calibri" w:hAnsi="Calibri"/>
                <w:color w:val="000000"/>
              </w:rPr>
            </w:pPr>
            <w:r>
              <w:rPr>
                <w:rFonts w:ascii="Calibri" w:hAnsi="Calibri"/>
                <w:color w:val="000000"/>
                <w:sz w:val="22"/>
                <w:szCs w:val="22"/>
              </w:rPr>
              <w:t>50,9%</w:t>
            </w:r>
          </w:p>
        </w:tc>
        <w:tc>
          <w:tcPr>
            <w:tcW w:w="1200" w:type="dxa"/>
            <w:tcBorders>
              <w:bottom w:val="single" w:sz="8" w:space="0" w:color="000000"/>
            </w:tcBorders>
            <w:noWrap/>
          </w:tcPr>
          <w:p w:rsidR="007A1EF5" w:rsidRDefault="007A1EF5">
            <w:pPr>
              <w:jc w:val="right"/>
              <w:rPr>
                <w:rFonts w:ascii="Calibri" w:hAnsi="Calibri"/>
                <w:color w:val="000000"/>
              </w:rPr>
            </w:pPr>
            <w:r>
              <w:rPr>
                <w:rFonts w:ascii="Calibri" w:hAnsi="Calibri"/>
                <w:color w:val="000000"/>
                <w:sz w:val="22"/>
                <w:szCs w:val="22"/>
              </w:rPr>
              <w:t>52%</w:t>
            </w:r>
          </w:p>
        </w:tc>
      </w:tr>
    </w:tbl>
    <w:p w:rsidR="007A1EF5" w:rsidRDefault="007A1EF5">
      <w:pPr>
        <w:spacing w:line="360" w:lineRule="auto"/>
        <w:outlineLvl w:val="1"/>
        <w:rPr>
          <w:rFonts w:ascii="Calibri" w:hAnsi="Calibri" w:cs="Arial"/>
          <w:highlight w:val="cyan"/>
        </w:rPr>
      </w:pPr>
    </w:p>
    <w:p w:rsidR="007A1EF5" w:rsidRDefault="007A1EF5">
      <w:pPr>
        <w:spacing w:line="360" w:lineRule="auto"/>
        <w:outlineLvl w:val="1"/>
        <w:rPr>
          <w:rFonts w:ascii="Calibri" w:hAnsi="Calibri" w:cs="Arial"/>
          <w:highlight w:val="cyan"/>
        </w:rPr>
      </w:pPr>
      <w:r>
        <w:rPr>
          <w:noProof/>
        </w:rPr>
        <w:pict>
          <v:shape id="_x0000_s1057" type="#_x0000_t202" style="position:absolute;margin-left:167.15pt;margin-top:190.4pt;width:63pt;height:17.9pt;z-index:251665408" filled="f" stroked="f">
            <v:textbox style="mso-next-textbox:#_x0000_s1057">
              <w:txbxContent>
                <w:p w:rsidR="007A1EF5" w:rsidRPr="00931AD9" w:rsidRDefault="007A1EF5">
                  <w:pPr>
                    <w:rPr>
                      <w:sz w:val="16"/>
                      <w:szCs w:val="16"/>
                    </w:rPr>
                  </w:pPr>
                  <w:r w:rsidRPr="00931AD9">
                    <w:rPr>
                      <w:sz w:val="16"/>
                      <w:szCs w:val="16"/>
                    </w:rPr>
                    <w:t>Abbildung</w:t>
                  </w:r>
                  <w:r>
                    <w:rPr>
                      <w:sz w:val="16"/>
                      <w:szCs w:val="16"/>
                    </w:rPr>
                    <w:t xml:space="preserve"> 31</w:t>
                  </w:r>
                </w:p>
              </w:txbxContent>
            </v:textbox>
          </v:shape>
        </w:pict>
      </w:r>
      <w:r w:rsidRPr="00DD0F19">
        <w:rPr>
          <w:rFonts w:ascii="Calibri" w:hAnsi="Calibri" w:cs="Arial"/>
          <w:noProof/>
        </w:rPr>
        <w:object w:dxaOrig="7489" w:dyaOrig="3524">
          <v:shape id="Objekt 24" o:spid="_x0000_i1055" type="#_x0000_t75" style="width:451.5pt;height:201pt;visibility:visible" o:ole="">
            <v:imagedata r:id="rId63" o:title="" croptop="-3924f" cropbottom="-5337f" cropleft="-1768f" cropright="-11700f"/>
            <o:lock v:ext="edit" aspectratio="f"/>
          </v:shape>
          <o:OLEObject Type="Embed" ProgID="Excel.Chart.8" ShapeID="Objekt 24" DrawAspect="Content" ObjectID="_1330351655" r:id="rId64"/>
        </w:object>
      </w: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p w:rsidR="007A1EF5" w:rsidRDefault="007A1EF5">
      <w:pPr>
        <w:spacing w:line="360" w:lineRule="auto"/>
        <w:jc w:val="both"/>
        <w:outlineLvl w:val="0"/>
        <w:rPr>
          <w:rFonts w:ascii="Calibri" w:hAnsi="Calibri" w:cs="Arial"/>
        </w:rPr>
      </w:pPr>
    </w:p>
    <w:tbl>
      <w:tblPr>
        <w:tblW w:w="6760" w:type="dxa"/>
        <w:tblBorders>
          <w:top w:val="single" w:sz="8" w:space="0" w:color="000000"/>
          <w:bottom w:val="single" w:sz="8" w:space="0" w:color="000000"/>
        </w:tblBorders>
        <w:tblLook w:val="0000"/>
      </w:tblPr>
      <w:tblGrid>
        <w:gridCol w:w="1960"/>
        <w:gridCol w:w="1200"/>
        <w:gridCol w:w="1200"/>
        <w:gridCol w:w="1200"/>
        <w:gridCol w:w="1200"/>
      </w:tblGrid>
      <w:tr w:rsidR="007A1EF5">
        <w:trPr>
          <w:trHeight w:val="397"/>
        </w:trPr>
        <w:tc>
          <w:tcPr>
            <w:tcW w:w="1960" w:type="dxa"/>
            <w:tcBorders>
              <w:top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 </w:t>
            </w:r>
          </w:p>
        </w:tc>
        <w:tc>
          <w:tcPr>
            <w:tcW w:w="1200" w:type="dxa"/>
            <w:tcBorders>
              <w:top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1998</w:t>
            </w:r>
          </w:p>
        </w:tc>
        <w:tc>
          <w:tcPr>
            <w:tcW w:w="1200" w:type="dxa"/>
            <w:tcBorders>
              <w:top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2002</w:t>
            </w:r>
          </w:p>
        </w:tc>
        <w:tc>
          <w:tcPr>
            <w:tcW w:w="1200" w:type="dxa"/>
            <w:tcBorders>
              <w:top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2005</w:t>
            </w:r>
          </w:p>
        </w:tc>
        <w:tc>
          <w:tcPr>
            <w:tcW w:w="1200" w:type="dxa"/>
            <w:tcBorders>
              <w:top w:val="single" w:sz="8" w:space="0" w:color="000000"/>
            </w:tcBorders>
            <w:noWrap/>
          </w:tcPr>
          <w:p w:rsidR="007A1EF5" w:rsidRDefault="007A1EF5">
            <w:pPr>
              <w:jc w:val="both"/>
              <w:rPr>
                <w:rFonts w:ascii="Calibri" w:hAnsi="Calibri"/>
                <w:bCs/>
                <w:color w:val="000000"/>
              </w:rPr>
            </w:pPr>
            <w:r>
              <w:rPr>
                <w:rFonts w:ascii="Calibri" w:hAnsi="Calibri"/>
                <w:bCs/>
                <w:color w:val="000000"/>
                <w:sz w:val="22"/>
                <w:szCs w:val="22"/>
              </w:rPr>
              <w:t>2009</w:t>
            </w:r>
          </w:p>
        </w:tc>
      </w:tr>
      <w:tr w:rsidR="007A1EF5">
        <w:trPr>
          <w:trHeight w:val="397"/>
        </w:trPr>
        <w:tc>
          <w:tcPr>
            <w:tcW w:w="1960" w:type="dxa"/>
            <w:noWrap/>
          </w:tcPr>
          <w:p w:rsidR="007A1EF5" w:rsidRDefault="007A1EF5">
            <w:pPr>
              <w:jc w:val="both"/>
              <w:rPr>
                <w:rFonts w:ascii="Calibri" w:hAnsi="Calibri"/>
                <w:color w:val="000000"/>
              </w:rPr>
            </w:pPr>
            <w:r>
              <w:rPr>
                <w:rFonts w:ascii="Calibri" w:hAnsi="Calibri"/>
                <w:color w:val="000000"/>
                <w:sz w:val="22"/>
                <w:szCs w:val="22"/>
              </w:rPr>
              <w:t>Wahlberechtigte</w:t>
            </w:r>
          </w:p>
        </w:tc>
        <w:tc>
          <w:tcPr>
            <w:tcW w:w="1200" w:type="dxa"/>
            <w:noWrap/>
          </w:tcPr>
          <w:p w:rsidR="007A1EF5" w:rsidRDefault="007A1EF5">
            <w:pPr>
              <w:jc w:val="both"/>
              <w:rPr>
                <w:rFonts w:ascii="Calibri" w:hAnsi="Calibri"/>
                <w:color w:val="000000"/>
              </w:rPr>
            </w:pPr>
            <w:r>
              <w:rPr>
                <w:rFonts w:ascii="Calibri" w:hAnsi="Calibri"/>
                <w:color w:val="000000"/>
                <w:sz w:val="22"/>
                <w:szCs w:val="22"/>
              </w:rPr>
              <w:t>117.505</w:t>
            </w:r>
          </w:p>
        </w:tc>
        <w:tc>
          <w:tcPr>
            <w:tcW w:w="1200" w:type="dxa"/>
            <w:noWrap/>
          </w:tcPr>
          <w:p w:rsidR="007A1EF5" w:rsidRDefault="007A1EF5">
            <w:pPr>
              <w:jc w:val="both"/>
              <w:rPr>
                <w:rFonts w:ascii="Calibri" w:hAnsi="Calibri"/>
                <w:color w:val="000000"/>
              </w:rPr>
            </w:pPr>
            <w:r>
              <w:rPr>
                <w:rFonts w:ascii="Calibri" w:hAnsi="Calibri"/>
                <w:color w:val="000000"/>
                <w:sz w:val="22"/>
                <w:szCs w:val="22"/>
              </w:rPr>
              <w:t>117.587</w:t>
            </w:r>
          </w:p>
        </w:tc>
        <w:tc>
          <w:tcPr>
            <w:tcW w:w="1200" w:type="dxa"/>
            <w:noWrap/>
          </w:tcPr>
          <w:p w:rsidR="007A1EF5" w:rsidRDefault="007A1EF5">
            <w:pPr>
              <w:jc w:val="both"/>
              <w:rPr>
                <w:rFonts w:ascii="Calibri" w:hAnsi="Calibri"/>
                <w:color w:val="000000"/>
              </w:rPr>
            </w:pPr>
            <w:r>
              <w:rPr>
                <w:rFonts w:ascii="Calibri" w:hAnsi="Calibri"/>
                <w:color w:val="000000"/>
                <w:sz w:val="22"/>
                <w:szCs w:val="22"/>
              </w:rPr>
              <w:t>117.748</w:t>
            </w:r>
          </w:p>
        </w:tc>
        <w:tc>
          <w:tcPr>
            <w:tcW w:w="1200" w:type="dxa"/>
            <w:noWrap/>
          </w:tcPr>
          <w:p w:rsidR="007A1EF5" w:rsidRDefault="007A1EF5">
            <w:pPr>
              <w:jc w:val="both"/>
              <w:rPr>
                <w:rFonts w:ascii="Calibri" w:hAnsi="Calibri"/>
                <w:color w:val="000000"/>
              </w:rPr>
            </w:pPr>
            <w:r>
              <w:rPr>
                <w:rFonts w:ascii="Calibri" w:hAnsi="Calibri"/>
                <w:color w:val="000000"/>
                <w:sz w:val="22"/>
                <w:szCs w:val="22"/>
              </w:rPr>
              <w:t>117.285</w:t>
            </w:r>
          </w:p>
        </w:tc>
      </w:tr>
      <w:tr w:rsidR="007A1EF5">
        <w:trPr>
          <w:trHeight w:val="397"/>
        </w:trPr>
        <w:tc>
          <w:tcPr>
            <w:tcW w:w="1960" w:type="dxa"/>
            <w:tcBorders>
              <w:bottom w:val="single" w:sz="8" w:space="0" w:color="000000"/>
            </w:tcBorders>
            <w:noWrap/>
          </w:tcPr>
          <w:p w:rsidR="007A1EF5" w:rsidRDefault="007A1EF5">
            <w:pPr>
              <w:jc w:val="both"/>
              <w:rPr>
                <w:rFonts w:ascii="Calibri" w:hAnsi="Calibri"/>
                <w:color w:val="000000"/>
              </w:rPr>
            </w:pPr>
            <w:r>
              <w:rPr>
                <w:rFonts w:ascii="Calibri" w:hAnsi="Calibri"/>
                <w:bCs/>
                <w:color w:val="000000"/>
                <w:sz w:val="22"/>
                <w:szCs w:val="22"/>
                <w:u w:val="single"/>
              </w:rPr>
              <w:t>Nicht</w:t>
            </w:r>
            <w:r>
              <w:rPr>
                <w:rFonts w:ascii="Calibri" w:hAnsi="Calibri"/>
                <w:color w:val="000000"/>
                <w:sz w:val="22"/>
                <w:szCs w:val="22"/>
              </w:rPr>
              <w:t>wähler</w:t>
            </w:r>
          </w:p>
        </w:tc>
        <w:tc>
          <w:tcPr>
            <w:tcW w:w="1200" w:type="dxa"/>
            <w:tcBorders>
              <w:bottom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16,6%</w:t>
            </w:r>
          </w:p>
        </w:tc>
        <w:tc>
          <w:tcPr>
            <w:tcW w:w="1200" w:type="dxa"/>
            <w:tcBorders>
              <w:bottom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20,3%</w:t>
            </w:r>
          </w:p>
        </w:tc>
        <w:tc>
          <w:tcPr>
            <w:tcW w:w="1200" w:type="dxa"/>
            <w:tcBorders>
              <w:bottom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21,8%</w:t>
            </w:r>
          </w:p>
        </w:tc>
        <w:tc>
          <w:tcPr>
            <w:tcW w:w="1200" w:type="dxa"/>
            <w:tcBorders>
              <w:bottom w:val="single" w:sz="8" w:space="0" w:color="000000"/>
            </w:tcBorders>
            <w:noWrap/>
          </w:tcPr>
          <w:p w:rsidR="007A1EF5" w:rsidRDefault="007A1EF5">
            <w:pPr>
              <w:jc w:val="both"/>
              <w:rPr>
                <w:rFonts w:ascii="Calibri" w:hAnsi="Calibri"/>
                <w:color w:val="000000"/>
              </w:rPr>
            </w:pPr>
            <w:r>
              <w:rPr>
                <w:rFonts w:ascii="Calibri" w:hAnsi="Calibri"/>
                <w:color w:val="000000"/>
                <w:sz w:val="22"/>
                <w:szCs w:val="22"/>
              </w:rPr>
              <w:t>31,3%</w:t>
            </w:r>
          </w:p>
        </w:tc>
      </w:tr>
    </w:tbl>
    <w:p w:rsidR="007A1EF5" w:rsidRDefault="007A1EF5">
      <w:pPr>
        <w:spacing w:line="360" w:lineRule="auto"/>
        <w:jc w:val="both"/>
        <w:outlineLvl w:val="0"/>
        <w:rPr>
          <w:rFonts w:ascii="Calibri" w:hAnsi="Calibri" w:cs="Arial"/>
        </w:rPr>
      </w:pP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r>
        <w:rPr>
          <w:noProof/>
        </w:rPr>
        <w:pict>
          <v:shape id="_x0000_s1058" type="#_x0000_t202" style="position:absolute;margin-left:158.15pt;margin-top:199.8pt;width:63pt;height:17.9pt;z-index:251666432" filled="f" stroked="f">
            <v:textbox style="mso-next-textbox:#_x0000_s1058">
              <w:txbxContent>
                <w:p w:rsidR="007A1EF5" w:rsidRPr="00931AD9" w:rsidRDefault="007A1EF5">
                  <w:pPr>
                    <w:rPr>
                      <w:sz w:val="16"/>
                      <w:szCs w:val="16"/>
                    </w:rPr>
                  </w:pPr>
                  <w:r w:rsidRPr="00931AD9">
                    <w:rPr>
                      <w:sz w:val="16"/>
                      <w:szCs w:val="16"/>
                    </w:rPr>
                    <w:t>Abbildung</w:t>
                  </w:r>
                  <w:r>
                    <w:rPr>
                      <w:sz w:val="16"/>
                      <w:szCs w:val="16"/>
                    </w:rPr>
                    <w:t xml:space="preserve"> 32</w:t>
                  </w:r>
                </w:p>
              </w:txbxContent>
            </v:textbox>
          </v:shape>
        </w:pict>
      </w:r>
      <w:r w:rsidRPr="00DD0F19">
        <w:rPr>
          <w:rFonts w:ascii="Calibri" w:hAnsi="Calibri" w:cs="Arial"/>
          <w:noProof/>
          <w:color w:val="FF0000"/>
        </w:rPr>
        <w:object w:dxaOrig="8199" w:dyaOrig="3331">
          <v:shape id="Objekt 26" o:spid="_x0000_i1056" type="#_x0000_t75" style="width:471.75pt;height:186pt;visibility:visible" o:ole="">
            <v:imagedata r:id="rId65" o:title="" croptop="-4151f" cropbottom="-5627f" cropleft="-1687f" cropright="-8161f"/>
            <o:lock v:ext="edit" aspectratio="f"/>
          </v:shape>
          <o:OLEObject Type="Embed" ProgID="Excel.Chart.8" ShapeID="Objekt 26" DrawAspect="Content" ObjectID="_1330351656" r:id="rId66"/>
        </w:object>
      </w:r>
    </w:p>
    <w:p w:rsidR="007A1EF5" w:rsidRDefault="007A1EF5">
      <w:pPr>
        <w:spacing w:line="360" w:lineRule="auto"/>
        <w:outlineLvl w:val="0"/>
        <w:rPr>
          <w:rFonts w:ascii="Calibri" w:hAnsi="Calibri" w:cs="Arial"/>
          <w:highlight w:val="cyan"/>
        </w:rPr>
      </w:pPr>
    </w:p>
    <w:bookmarkEnd w:id="52"/>
    <w:p w:rsidR="007A1EF5" w:rsidRPr="00FF09C0" w:rsidRDefault="007A1EF5">
      <w:pPr>
        <w:pBdr>
          <w:bottom w:val="single" w:sz="4" w:space="1" w:color="auto"/>
        </w:pBdr>
        <w:spacing w:line="360" w:lineRule="auto"/>
        <w:outlineLvl w:val="1"/>
        <w:rPr>
          <w:rFonts w:ascii="Calibri" w:hAnsi="Calibri" w:cs="Arial"/>
        </w:rPr>
      </w:pPr>
      <w:r>
        <w:rPr>
          <w:rFonts w:ascii="Calibri" w:hAnsi="Calibri" w:cs="Arial"/>
          <w:highlight w:val="cyan"/>
        </w:rPr>
        <w:br w:type="page"/>
      </w:r>
      <w:r w:rsidRPr="00FF09C0">
        <w:rPr>
          <w:rFonts w:ascii="Calibri" w:hAnsi="Calibri" w:cs="Arial"/>
        </w:rPr>
        <w:t>(8) Handlungsfeld Öffentliche Sicherheit</w:t>
      </w:r>
    </w:p>
    <w:p w:rsidR="007A1EF5" w:rsidRDefault="007A1EF5">
      <w:pPr>
        <w:pStyle w:val="ListParagraph"/>
        <w:spacing w:line="360" w:lineRule="auto"/>
        <w:ind w:left="0"/>
        <w:jc w:val="both"/>
        <w:rPr>
          <w:rFonts w:ascii="Calibri" w:hAnsi="Calibri" w:cs="Arial"/>
        </w:rPr>
      </w:pPr>
    </w:p>
    <w:p w:rsidR="007A1EF5" w:rsidRDefault="007A1EF5">
      <w:pPr>
        <w:pStyle w:val="ListParagraph"/>
        <w:spacing w:line="360" w:lineRule="auto"/>
        <w:ind w:left="0"/>
        <w:jc w:val="both"/>
        <w:rPr>
          <w:rFonts w:ascii="Calibri" w:hAnsi="Calibri" w:cs="Arial"/>
        </w:rPr>
      </w:pPr>
      <w:r>
        <w:rPr>
          <w:rFonts w:ascii="Calibri" w:hAnsi="Calibri" w:cs="Arial"/>
        </w:rPr>
        <w:t>Sicherheit und soziale Lage stehen miteinander in einer engen Verbindung. Untersuchungen belegen, dass gewisse Formen von Kriminalität mit bestimmten sozialen Lebensverhältnissen in Wechselwirkung stehen und in einigen gesellschaftlichen Milieus besonders häufig in Erscheinung treten. So ist die öffentliche Sicherheit ein weiteres wichtiges Handlungsfeld, in dem zwar einerseits primär die Polizei staatliche Aufgaben wahrnimmt, in dem aber zum Beispiel kommunales Engagement im Wege von sogenannten Ordnungspartnerschaften gefragt ist. Andererseits ist es für die Sozialberichterstattung von Bedeutung, die Häufung von Delikten einer bestimmten Qualität zu erfassen, um ein Indiz zur sozialen Situation zu erhalten. Zusammen mit anderen Kommunen im Arbeitskreis Sozialmonitoring hat sich die Stadt Leverkusen entschieden, das Handlungsfeld in die Sozialberichterstattung aufzunehmen. Datenquellen der Polizeilichen Kriminalstatistik sollen objektiv bewertet werden, wobei angesichts der aktuellen Diskussion um vermeintliche „Verrohungstendenzen“ in der Gesellschaft eine sehr viel differenziertere Analyse erfolgen müsste, die nicht im Rahmen des integrierten Berichts erfolgen kann, sondern die ausgewiesenen Expertinnen und Experten der Kriminalitätsforschung vorbehalten bleiben muss. Grundsätzlich bieten sich für die Sozialberichterstattung zwei Blickwinkel an: Erstens, die Perspektive der Tatorte, die mit der Kriminalitätshäufigkeitsziffer erfasst wird. Zweitens, die Perspektive der Täterherkunft, die über die Tatverdächtigenbelastungszahl erhoben werden kann. Beides sollte zum Zwecke einer kleinräumigen Beobachtung weiterentwickelt werden, um auf die soziale Lage in Stadtteilen oder Sozialräumen Rückschlüsse ziehen zu können.</w:t>
      </w:r>
    </w:p>
    <w:p w:rsidR="007A1EF5" w:rsidRDefault="007A1EF5">
      <w:pPr>
        <w:pStyle w:val="ListParagraph"/>
        <w:spacing w:line="360" w:lineRule="auto"/>
        <w:ind w:left="0"/>
        <w:jc w:val="both"/>
        <w:rPr>
          <w:rFonts w:ascii="Calibri" w:hAnsi="Calibri" w:cs="Arial"/>
        </w:rPr>
      </w:pPr>
      <w:r>
        <w:rPr>
          <w:rFonts w:ascii="Calibri" w:hAnsi="Calibri" w:cs="Arial"/>
        </w:rPr>
        <w:t>Die Ergebnisse der Polizeilichen Kriminalstatistik von 2008 zeigen für Leverkusen im Jahr 2008 12.004 Straftaten gegenüber 12.147 im Jahr zuvor. Somit lässt sich ein leichter Rückgang von um 1,18 Prozent feststellen. Die Aufklärungsquote lag bei 48,22 Prozent. Die Opferzahlen sind dagegen zwischen 2007 und 2008 gestiegen. 2008 wurden 2.064 Personen Opfer eines Verbrechens, während es 2007 noch 1.840 waren.</w:t>
      </w:r>
    </w:p>
    <w:p w:rsidR="007A1EF5" w:rsidRDefault="007A1EF5">
      <w:pPr>
        <w:pStyle w:val="ListParagraph"/>
        <w:spacing w:line="360" w:lineRule="auto"/>
        <w:ind w:left="0"/>
        <w:jc w:val="both"/>
        <w:rPr>
          <w:rFonts w:ascii="Calibri" w:hAnsi="Calibri" w:cs="Arial"/>
        </w:rPr>
      </w:pPr>
    </w:p>
    <w:p w:rsidR="007A1EF5" w:rsidRDefault="007A1EF5">
      <w:pPr>
        <w:pStyle w:val="ListParagraph"/>
        <w:ind w:left="0"/>
        <w:rPr>
          <w:rFonts w:ascii="Calibri" w:hAnsi="Calibri" w:cs="Arial"/>
          <w:highlight w:val="cyan"/>
        </w:rPr>
      </w:pPr>
      <w:r w:rsidRPr="00DD0F19">
        <w:rPr>
          <w:rFonts w:ascii="Calibri" w:hAnsi="Calibri" w:cs="Arial"/>
          <w:noProof/>
        </w:rPr>
        <w:object w:dxaOrig="8871" w:dyaOrig="4138">
          <v:shape id="Objekt 28" o:spid="_x0000_i1057" type="#_x0000_t75" style="width:435pt;height:207pt;visibility:visible" o:ole="">
            <v:imagedata r:id="rId67" o:title=""/>
            <o:lock v:ext="edit" aspectratio="f"/>
          </v:shape>
          <o:OLEObject Type="Embed" ProgID="Excel.Chart.8" ShapeID="Objekt 28" DrawAspect="Content" ObjectID="_1330351657" r:id="rId68"/>
        </w:object>
      </w:r>
    </w:p>
    <w:p w:rsidR="007A1EF5" w:rsidRDefault="007A1EF5">
      <w:pPr>
        <w:pStyle w:val="ListParagraph"/>
        <w:ind w:left="0"/>
        <w:rPr>
          <w:rFonts w:ascii="Calibri" w:hAnsi="Calibri" w:cs="Arial"/>
        </w:rPr>
      </w:pPr>
      <w:r>
        <w:rPr>
          <w:noProof/>
        </w:rPr>
        <w:pict>
          <v:shape id="_x0000_s1059" type="#_x0000_t202" style="position:absolute;margin-left:194.15pt;margin-top:3.35pt;width:63pt;height:17.9pt;z-index:251667456" filled="f" stroked="f">
            <v:textbox style="mso-next-textbox:#_x0000_s1059">
              <w:txbxContent>
                <w:p w:rsidR="007A1EF5" w:rsidRPr="00931AD9" w:rsidRDefault="007A1EF5">
                  <w:pPr>
                    <w:rPr>
                      <w:sz w:val="16"/>
                      <w:szCs w:val="16"/>
                    </w:rPr>
                  </w:pPr>
                  <w:r w:rsidRPr="00931AD9">
                    <w:rPr>
                      <w:sz w:val="16"/>
                      <w:szCs w:val="16"/>
                    </w:rPr>
                    <w:t>Abbildung</w:t>
                  </w:r>
                  <w:r>
                    <w:rPr>
                      <w:sz w:val="16"/>
                      <w:szCs w:val="16"/>
                    </w:rPr>
                    <w:t xml:space="preserve"> 33</w:t>
                  </w:r>
                </w:p>
              </w:txbxContent>
            </v:textbox>
          </v:shape>
        </w:pict>
      </w:r>
    </w:p>
    <w:p w:rsidR="007A1EF5" w:rsidRDefault="007A1EF5">
      <w:pPr>
        <w:pStyle w:val="ListParagraph"/>
        <w:ind w:left="0"/>
        <w:rPr>
          <w:rFonts w:ascii="Calibri" w:hAnsi="Calibri" w:cs="Arial"/>
          <w:highlight w:val="cyan"/>
        </w:rPr>
      </w:pPr>
    </w:p>
    <w:p w:rsidR="007A1EF5" w:rsidRDefault="007A1EF5">
      <w:pPr>
        <w:pStyle w:val="ListParagraph"/>
        <w:spacing w:line="360" w:lineRule="auto"/>
        <w:ind w:left="0"/>
        <w:jc w:val="both"/>
        <w:rPr>
          <w:rFonts w:ascii="Calibri" w:hAnsi="Calibri" w:cs="Arial"/>
        </w:rPr>
      </w:pPr>
      <w:r>
        <w:rPr>
          <w:rFonts w:ascii="Calibri" w:hAnsi="Calibri" w:cs="Arial"/>
        </w:rPr>
        <w:t>Bei den Merkmalen der Tatverdächtigen wird in den Jahren 2007und 2008 deutlich, dass es stets mehr männliche als weibliche Straftäter gab, dass jedoch absolut gesehen die Zahl der Täterinnen leicht steigt. Ebenso ist die Anzahl der Kinder unter 14 Jahren, die einer Tat verdächtigt wurden, sowohl absolut als auch relativ im Jahresvergleich leicht gestiegen.</w:t>
      </w:r>
    </w:p>
    <w:p w:rsidR="007A1EF5" w:rsidRDefault="007A1EF5">
      <w:pPr>
        <w:pStyle w:val="ListParagraph"/>
        <w:ind w:left="0"/>
        <w:rPr>
          <w:rFonts w:ascii="Calibri" w:hAnsi="Calibri" w:cs="Arial"/>
          <w:highlight w:val="cyan"/>
        </w:rPr>
      </w:pPr>
    </w:p>
    <w:tbl>
      <w:tblPr>
        <w:tblW w:w="8380" w:type="dxa"/>
        <w:tblBorders>
          <w:top w:val="single" w:sz="8" w:space="0" w:color="9BBB59"/>
          <w:bottom w:val="single" w:sz="8" w:space="0" w:color="9BBB59"/>
        </w:tblBorders>
        <w:tblLook w:val="0000"/>
      </w:tblPr>
      <w:tblGrid>
        <w:gridCol w:w="3580"/>
        <w:gridCol w:w="1200"/>
        <w:gridCol w:w="1200"/>
        <w:gridCol w:w="1200"/>
        <w:gridCol w:w="1200"/>
      </w:tblGrid>
      <w:tr w:rsidR="007A1EF5">
        <w:trPr>
          <w:trHeight w:val="397"/>
        </w:trPr>
        <w:tc>
          <w:tcPr>
            <w:tcW w:w="3580" w:type="dxa"/>
            <w:tcBorders>
              <w:top w:val="single" w:sz="8" w:space="0" w:color="9BBB59"/>
            </w:tcBorders>
            <w:noWrap/>
          </w:tcPr>
          <w:p w:rsidR="007A1EF5" w:rsidRDefault="007A1EF5">
            <w:pPr>
              <w:rPr>
                <w:rFonts w:ascii="Calibri" w:hAnsi="Calibri"/>
                <w:color w:val="000000"/>
              </w:rPr>
            </w:pPr>
            <w:r>
              <w:rPr>
                <w:rFonts w:ascii="Calibri" w:hAnsi="Calibri"/>
                <w:color w:val="000000"/>
                <w:sz w:val="22"/>
                <w:szCs w:val="22"/>
              </w:rPr>
              <w:t> </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2007</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Anteil</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2008</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Anteil</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Gesamt</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4245</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100%</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4512</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100%</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Männlich</w:t>
            </w:r>
          </w:p>
        </w:tc>
        <w:tc>
          <w:tcPr>
            <w:tcW w:w="1200" w:type="dxa"/>
            <w:noWrap/>
          </w:tcPr>
          <w:p w:rsidR="007A1EF5" w:rsidRDefault="007A1EF5">
            <w:pPr>
              <w:jc w:val="right"/>
              <w:rPr>
                <w:rFonts w:ascii="Calibri" w:hAnsi="Calibri"/>
                <w:color w:val="000000"/>
              </w:rPr>
            </w:pPr>
            <w:r>
              <w:rPr>
                <w:rFonts w:ascii="Calibri" w:hAnsi="Calibri"/>
                <w:color w:val="000000"/>
                <w:sz w:val="22"/>
                <w:szCs w:val="22"/>
              </w:rPr>
              <w:t>3193</w:t>
            </w:r>
          </w:p>
        </w:tc>
        <w:tc>
          <w:tcPr>
            <w:tcW w:w="1200" w:type="dxa"/>
            <w:noWrap/>
          </w:tcPr>
          <w:p w:rsidR="007A1EF5" w:rsidRDefault="007A1EF5">
            <w:pPr>
              <w:jc w:val="right"/>
              <w:rPr>
                <w:rFonts w:ascii="Calibri" w:hAnsi="Calibri"/>
                <w:color w:val="000000"/>
              </w:rPr>
            </w:pPr>
            <w:r>
              <w:rPr>
                <w:rFonts w:ascii="Calibri" w:hAnsi="Calibri"/>
                <w:color w:val="000000"/>
                <w:sz w:val="22"/>
                <w:szCs w:val="22"/>
              </w:rPr>
              <w:t>75,22%</w:t>
            </w:r>
          </w:p>
        </w:tc>
        <w:tc>
          <w:tcPr>
            <w:tcW w:w="1200" w:type="dxa"/>
            <w:noWrap/>
          </w:tcPr>
          <w:p w:rsidR="007A1EF5" w:rsidRDefault="007A1EF5">
            <w:pPr>
              <w:jc w:val="right"/>
              <w:rPr>
                <w:rFonts w:ascii="Calibri" w:hAnsi="Calibri"/>
                <w:color w:val="000000"/>
              </w:rPr>
            </w:pPr>
            <w:r>
              <w:rPr>
                <w:rFonts w:ascii="Calibri" w:hAnsi="Calibri"/>
                <w:color w:val="000000"/>
                <w:sz w:val="22"/>
                <w:szCs w:val="22"/>
              </w:rPr>
              <w:t>3436</w:t>
            </w:r>
          </w:p>
        </w:tc>
        <w:tc>
          <w:tcPr>
            <w:tcW w:w="1200" w:type="dxa"/>
            <w:noWrap/>
          </w:tcPr>
          <w:p w:rsidR="007A1EF5" w:rsidRDefault="007A1EF5">
            <w:pPr>
              <w:jc w:val="right"/>
              <w:rPr>
                <w:rFonts w:ascii="Calibri" w:hAnsi="Calibri"/>
                <w:color w:val="000000"/>
              </w:rPr>
            </w:pPr>
            <w:r>
              <w:rPr>
                <w:rFonts w:ascii="Calibri" w:hAnsi="Calibri"/>
                <w:color w:val="000000"/>
                <w:sz w:val="22"/>
                <w:szCs w:val="22"/>
              </w:rPr>
              <w:t>76,15%</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Weiblich</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1052</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24,78%</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1076</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23,85%</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Kinder 0 bis unter 14 Jahre</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221</w:t>
            </w:r>
          </w:p>
        </w:tc>
        <w:tc>
          <w:tcPr>
            <w:tcW w:w="1200" w:type="dxa"/>
            <w:noWrap/>
          </w:tcPr>
          <w:p w:rsidR="007A1EF5" w:rsidRDefault="007A1EF5">
            <w:pPr>
              <w:jc w:val="right"/>
              <w:rPr>
                <w:rFonts w:ascii="Calibri" w:hAnsi="Calibri"/>
                <w:color w:val="000000"/>
              </w:rPr>
            </w:pPr>
            <w:r>
              <w:rPr>
                <w:rFonts w:ascii="Calibri" w:hAnsi="Calibri"/>
                <w:color w:val="000000"/>
                <w:sz w:val="22"/>
                <w:szCs w:val="22"/>
              </w:rPr>
              <w:t>5,21%</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267</w:t>
            </w:r>
          </w:p>
        </w:tc>
        <w:tc>
          <w:tcPr>
            <w:tcW w:w="1200" w:type="dxa"/>
            <w:noWrap/>
          </w:tcPr>
          <w:p w:rsidR="007A1EF5" w:rsidRDefault="007A1EF5">
            <w:pPr>
              <w:jc w:val="right"/>
              <w:rPr>
                <w:rFonts w:ascii="Calibri" w:hAnsi="Calibri"/>
                <w:color w:val="000000"/>
              </w:rPr>
            </w:pPr>
            <w:r>
              <w:rPr>
                <w:rFonts w:ascii="Calibri" w:hAnsi="Calibri"/>
                <w:color w:val="000000"/>
                <w:sz w:val="22"/>
                <w:szCs w:val="22"/>
              </w:rPr>
              <w:t>5,92%</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Jugendliche 14 bis unter 18 Jahre</w:t>
            </w:r>
          </w:p>
        </w:tc>
        <w:tc>
          <w:tcPr>
            <w:tcW w:w="1200" w:type="dxa"/>
            <w:noWrap/>
          </w:tcPr>
          <w:p w:rsidR="007A1EF5" w:rsidRDefault="007A1EF5">
            <w:pPr>
              <w:jc w:val="right"/>
              <w:rPr>
                <w:rFonts w:ascii="Calibri" w:hAnsi="Calibri"/>
                <w:color w:val="000000"/>
              </w:rPr>
            </w:pPr>
            <w:r>
              <w:rPr>
                <w:rFonts w:ascii="Calibri" w:hAnsi="Calibri"/>
                <w:color w:val="000000"/>
                <w:sz w:val="22"/>
                <w:szCs w:val="22"/>
              </w:rPr>
              <w:t>556</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13,10%</w:t>
            </w:r>
          </w:p>
        </w:tc>
        <w:tc>
          <w:tcPr>
            <w:tcW w:w="1200" w:type="dxa"/>
            <w:noWrap/>
          </w:tcPr>
          <w:p w:rsidR="007A1EF5" w:rsidRDefault="007A1EF5">
            <w:pPr>
              <w:jc w:val="right"/>
              <w:rPr>
                <w:rFonts w:ascii="Calibri" w:hAnsi="Calibri"/>
                <w:color w:val="000000"/>
              </w:rPr>
            </w:pPr>
            <w:r>
              <w:rPr>
                <w:rFonts w:ascii="Calibri" w:hAnsi="Calibri"/>
                <w:color w:val="000000"/>
                <w:sz w:val="22"/>
                <w:szCs w:val="22"/>
              </w:rPr>
              <w:t>569</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12,61%</w:t>
            </w:r>
          </w:p>
        </w:tc>
      </w:tr>
      <w:tr w:rsidR="007A1EF5">
        <w:trPr>
          <w:trHeight w:val="300"/>
        </w:trPr>
        <w:tc>
          <w:tcPr>
            <w:tcW w:w="3580" w:type="dxa"/>
            <w:noWrap/>
          </w:tcPr>
          <w:p w:rsidR="007A1EF5" w:rsidRDefault="007A1EF5">
            <w:pPr>
              <w:rPr>
                <w:rFonts w:ascii="Calibri" w:hAnsi="Calibri"/>
                <w:color w:val="000000"/>
              </w:rPr>
            </w:pPr>
            <w:r>
              <w:rPr>
                <w:rFonts w:ascii="Calibri" w:hAnsi="Calibri"/>
                <w:color w:val="000000"/>
                <w:sz w:val="22"/>
                <w:szCs w:val="22"/>
              </w:rPr>
              <w:t>Heranwachsende 18 bis unter 21 Jahre</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438</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10,32%</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449</w:t>
            </w:r>
          </w:p>
        </w:tc>
        <w:tc>
          <w:tcPr>
            <w:tcW w:w="1200" w:type="dxa"/>
            <w:noWrap/>
          </w:tcPr>
          <w:p w:rsidR="007A1EF5" w:rsidRDefault="007A1EF5">
            <w:pPr>
              <w:jc w:val="right"/>
              <w:rPr>
                <w:rFonts w:ascii="Calibri" w:hAnsi="Calibri"/>
                <w:color w:val="000000"/>
              </w:rPr>
            </w:pPr>
            <w:r>
              <w:rPr>
                <w:rFonts w:ascii="Calibri" w:hAnsi="Calibri"/>
                <w:color w:val="000000"/>
                <w:sz w:val="22"/>
                <w:szCs w:val="22"/>
              </w:rPr>
              <w:t>9,95%</w:t>
            </w:r>
          </w:p>
        </w:tc>
      </w:tr>
      <w:tr w:rsidR="007A1EF5">
        <w:trPr>
          <w:trHeight w:val="315"/>
        </w:trPr>
        <w:tc>
          <w:tcPr>
            <w:tcW w:w="3580" w:type="dxa"/>
            <w:tcBorders>
              <w:bottom w:val="single" w:sz="8" w:space="0" w:color="9BBB59"/>
            </w:tcBorders>
            <w:noWrap/>
          </w:tcPr>
          <w:p w:rsidR="007A1EF5" w:rsidRDefault="007A1EF5">
            <w:pPr>
              <w:rPr>
                <w:rFonts w:ascii="Calibri" w:hAnsi="Calibri"/>
                <w:color w:val="000000"/>
              </w:rPr>
            </w:pPr>
            <w:r>
              <w:rPr>
                <w:rFonts w:ascii="Calibri" w:hAnsi="Calibri"/>
                <w:color w:val="000000"/>
                <w:sz w:val="22"/>
                <w:szCs w:val="22"/>
              </w:rPr>
              <w:t>Erwachsene ab 21 Jahre</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3030</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71,38%</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3227</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71,52%</w:t>
            </w:r>
          </w:p>
        </w:tc>
      </w:tr>
    </w:tbl>
    <w:p w:rsidR="007A1EF5" w:rsidRDefault="007A1EF5">
      <w:pPr>
        <w:pStyle w:val="ListParagraph"/>
        <w:ind w:left="0"/>
        <w:rPr>
          <w:rFonts w:ascii="Calibri" w:hAnsi="Calibri" w:cs="Arial"/>
        </w:rPr>
      </w:pPr>
      <w:r>
        <w:rPr>
          <w:noProof/>
        </w:rPr>
        <w:pict>
          <v:shape id="_x0000_s1060" type="#_x0000_t202" style="position:absolute;margin-left:194.15pt;margin-top:2.05pt;width:63pt;height:17.9pt;z-index:251668480;mso-position-horizontal-relative:text;mso-position-vertical-relative:text" filled="f" stroked="f">
            <v:textbox style="mso-next-textbox:#_x0000_s1060">
              <w:txbxContent>
                <w:p w:rsidR="007A1EF5" w:rsidRPr="00931AD9" w:rsidRDefault="007A1EF5">
                  <w:pPr>
                    <w:rPr>
                      <w:sz w:val="16"/>
                      <w:szCs w:val="16"/>
                    </w:rPr>
                  </w:pPr>
                  <w:r w:rsidRPr="00931AD9">
                    <w:rPr>
                      <w:sz w:val="16"/>
                      <w:szCs w:val="16"/>
                    </w:rPr>
                    <w:t>Abbildung</w:t>
                  </w:r>
                  <w:r>
                    <w:rPr>
                      <w:sz w:val="16"/>
                      <w:szCs w:val="16"/>
                    </w:rPr>
                    <w:t xml:space="preserve"> 34</w:t>
                  </w:r>
                </w:p>
              </w:txbxContent>
            </v:textbox>
          </v:shape>
        </w:pict>
      </w:r>
    </w:p>
    <w:p w:rsidR="007A1EF5" w:rsidRDefault="007A1EF5">
      <w:pPr>
        <w:pStyle w:val="ListParagraph"/>
        <w:ind w:left="0"/>
        <w:rPr>
          <w:rFonts w:ascii="Calibri" w:hAnsi="Calibri" w:cs="Arial"/>
        </w:rPr>
      </w:pPr>
    </w:p>
    <w:p w:rsidR="007A1EF5" w:rsidRDefault="007A1EF5">
      <w:pPr>
        <w:pStyle w:val="ListParagraph"/>
        <w:spacing w:line="360" w:lineRule="auto"/>
        <w:ind w:left="0"/>
        <w:jc w:val="both"/>
        <w:rPr>
          <w:rFonts w:ascii="Calibri" w:hAnsi="Calibri" w:cs="Arial"/>
        </w:rPr>
      </w:pPr>
      <w:r>
        <w:rPr>
          <w:rFonts w:ascii="Calibri" w:hAnsi="Calibri" w:cs="Arial"/>
        </w:rPr>
        <w:t>Bei einer näheren Betrachtung der minderjährigen Tatverdächtigen (Kinder unter 14 Jahre und Jugendliche zwischen 14 und unter 18 Jahren) ist zu erkennen, dass in allen dargestellten Deliktbereichen eine Zunahme zu verzeichnen ist, obwohl die Gesamtkriminalität um 6,31 Prozent zurückgegangen ist. Dies betrifft Körperverletzung, den Bereich Nachstellung, Freiheitsberaubung, Bedrohung und Nötigung, Diebstahl sowie Sachbeschädigungen.</w:t>
      </w:r>
    </w:p>
    <w:p w:rsidR="007A1EF5" w:rsidRDefault="007A1EF5">
      <w:pPr>
        <w:pStyle w:val="ListParagraph"/>
        <w:spacing w:line="360" w:lineRule="auto"/>
        <w:ind w:left="0"/>
        <w:rPr>
          <w:rFonts w:ascii="Calibri" w:hAnsi="Calibri" w:cs="Arial"/>
          <w:highlight w:val="cyan"/>
        </w:rPr>
      </w:pPr>
    </w:p>
    <w:p w:rsidR="007A1EF5" w:rsidRDefault="007A1EF5">
      <w:pPr>
        <w:pStyle w:val="ListParagraph"/>
        <w:spacing w:line="360" w:lineRule="auto"/>
        <w:ind w:left="0"/>
        <w:rPr>
          <w:rFonts w:ascii="Calibri" w:hAnsi="Calibri" w:cs="Arial"/>
          <w:highlight w:val="cyan"/>
        </w:rPr>
      </w:pPr>
    </w:p>
    <w:p w:rsidR="007A1EF5" w:rsidRDefault="007A1EF5">
      <w:pPr>
        <w:pStyle w:val="ListParagraph"/>
        <w:spacing w:line="360" w:lineRule="auto"/>
        <w:ind w:left="0"/>
        <w:rPr>
          <w:rFonts w:ascii="Calibri" w:hAnsi="Calibri" w:cs="Arial"/>
          <w:highlight w:val="cyan"/>
        </w:rPr>
      </w:pPr>
    </w:p>
    <w:tbl>
      <w:tblPr>
        <w:tblW w:w="8720" w:type="dxa"/>
        <w:tblBorders>
          <w:top w:val="single" w:sz="8" w:space="0" w:color="9BBB59"/>
          <w:bottom w:val="single" w:sz="8" w:space="0" w:color="9BBB59"/>
        </w:tblBorders>
        <w:tblLook w:val="0000"/>
      </w:tblPr>
      <w:tblGrid>
        <w:gridCol w:w="5120"/>
        <w:gridCol w:w="1200"/>
        <w:gridCol w:w="1200"/>
        <w:gridCol w:w="1200"/>
      </w:tblGrid>
      <w:tr w:rsidR="007A1EF5">
        <w:trPr>
          <w:trHeight w:val="340"/>
        </w:trPr>
        <w:tc>
          <w:tcPr>
            <w:tcW w:w="5120" w:type="dxa"/>
            <w:tcBorders>
              <w:top w:val="single" w:sz="8" w:space="0" w:color="9BBB59"/>
            </w:tcBorders>
            <w:noWrap/>
          </w:tcPr>
          <w:p w:rsidR="007A1EF5" w:rsidRDefault="007A1EF5">
            <w:pPr>
              <w:rPr>
                <w:rFonts w:ascii="Calibri" w:hAnsi="Calibri"/>
                <w:color w:val="000000"/>
              </w:rPr>
            </w:pP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2007</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2008</w:t>
            </w:r>
          </w:p>
        </w:tc>
        <w:tc>
          <w:tcPr>
            <w:tcW w:w="1200" w:type="dxa"/>
            <w:tcBorders>
              <w:top w:val="single" w:sz="8" w:space="0" w:color="9BBB59"/>
            </w:tcBorders>
            <w:noWrap/>
          </w:tcPr>
          <w:p w:rsidR="007A1EF5" w:rsidRDefault="007A1EF5">
            <w:pPr>
              <w:jc w:val="right"/>
              <w:rPr>
                <w:rFonts w:ascii="Calibri" w:hAnsi="Calibri"/>
                <w:bCs/>
                <w:color w:val="000000"/>
              </w:rPr>
            </w:pPr>
            <w:r>
              <w:rPr>
                <w:rFonts w:ascii="Calibri" w:hAnsi="Calibri"/>
                <w:bCs/>
                <w:color w:val="000000"/>
                <w:sz w:val="22"/>
                <w:szCs w:val="22"/>
              </w:rPr>
              <w:t>Entw. in %</w:t>
            </w:r>
          </w:p>
        </w:tc>
      </w:tr>
      <w:tr w:rsidR="007A1EF5">
        <w:trPr>
          <w:trHeight w:val="340"/>
        </w:trPr>
        <w:tc>
          <w:tcPr>
            <w:tcW w:w="5120" w:type="dxa"/>
            <w:noWrap/>
          </w:tcPr>
          <w:p w:rsidR="007A1EF5" w:rsidRDefault="007A1EF5">
            <w:pPr>
              <w:rPr>
                <w:rFonts w:ascii="Calibri" w:hAnsi="Calibri"/>
                <w:color w:val="000000"/>
              </w:rPr>
            </w:pPr>
            <w:r>
              <w:rPr>
                <w:rFonts w:ascii="Calibri" w:hAnsi="Calibri"/>
                <w:color w:val="000000"/>
                <w:sz w:val="22"/>
                <w:szCs w:val="22"/>
              </w:rPr>
              <w:t>Gesamtkriminalität</w:t>
            </w:r>
          </w:p>
        </w:tc>
        <w:tc>
          <w:tcPr>
            <w:tcW w:w="1200" w:type="dxa"/>
            <w:noWrap/>
          </w:tcPr>
          <w:p w:rsidR="007A1EF5" w:rsidRDefault="007A1EF5">
            <w:pPr>
              <w:jc w:val="right"/>
              <w:rPr>
                <w:rFonts w:ascii="Calibri" w:hAnsi="Calibri"/>
                <w:color w:val="000000"/>
              </w:rPr>
            </w:pPr>
            <w:r>
              <w:rPr>
                <w:rFonts w:ascii="Calibri" w:hAnsi="Calibri"/>
                <w:color w:val="000000"/>
                <w:sz w:val="22"/>
                <w:szCs w:val="22"/>
              </w:rPr>
              <w:t>777</w:t>
            </w:r>
          </w:p>
        </w:tc>
        <w:tc>
          <w:tcPr>
            <w:tcW w:w="1200" w:type="dxa"/>
            <w:noWrap/>
          </w:tcPr>
          <w:p w:rsidR="007A1EF5" w:rsidRDefault="007A1EF5">
            <w:pPr>
              <w:jc w:val="right"/>
              <w:rPr>
                <w:rFonts w:ascii="Calibri" w:hAnsi="Calibri"/>
                <w:color w:val="000000"/>
              </w:rPr>
            </w:pPr>
            <w:r>
              <w:rPr>
                <w:rFonts w:ascii="Calibri" w:hAnsi="Calibri"/>
                <w:color w:val="000000"/>
                <w:sz w:val="22"/>
                <w:szCs w:val="22"/>
              </w:rPr>
              <w:t>728</w:t>
            </w:r>
          </w:p>
        </w:tc>
        <w:tc>
          <w:tcPr>
            <w:tcW w:w="1200" w:type="dxa"/>
            <w:noWrap/>
          </w:tcPr>
          <w:p w:rsidR="007A1EF5" w:rsidRDefault="007A1EF5">
            <w:pPr>
              <w:jc w:val="right"/>
              <w:rPr>
                <w:rFonts w:ascii="Calibri" w:hAnsi="Calibri"/>
                <w:color w:val="000000"/>
              </w:rPr>
            </w:pPr>
            <w:r>
              <w:rPr>
                <w:rFonts w:ascii="Calibri" w:hAnsi="Calibri"/>
                <w:color w:val="000000"/>
                <w:sz w:val="22"/>
                <w:szCs w:val="22"/>
              </w:rPr>
              <w:t>-6,31%</w:t>
            </w:r>
          </w:p>
        </w:tc>
      </w:tr>
      <w:tr w:rsidR="007A1EF5">
        <w:trPr>
          <w:trHeight w:val="340"/>
        </w:trPr>
        <w:tc>
          <w:tcPr>
            <w:tcW w:w="5120" w:type="dxa"/>
            <w:noWrap/>
          </w:tcPr>
          <w:p w:rsidR="007A1EF5" w:rsidRDefault="007A1EF5">
            <w:pPr>
              <w:rPr>
                <w:rFonts w:ascii="Calibri" w:hAnsi="Calibri"/>
                <w:color w:val="000000"/>
              </w:rPr>
            </w:pPr>
            <w:r>
              <w:rPr>
                <w:rFonts w:ascii="Calibri" w:hAnsi="Calibri"/>
                <w:color w:val="000000"/>
                <w:sz w:val="22"/>
                <w:szCs w:val="22"/>
              </w:rPr>
              <w:t>Körperverletzung gesamt</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161</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205</w:t>
            </w:r>
          </w:p>
        </w:tc>
        <w:tc>
          <w:tcPr>
            <w:tcW w:w="1200" w:type="dxa"/>
            <w:noWrap/>
          </w:tcPr>
          <w:p w:rsidR="007A1EF5" w:rsidRDefault="007A1EF5">
            <w:pPr>
              <w:jc w:val="right"/>
              <w:rPr>
                <w:rFonts w:ascii="Calibri" w:hAnsi="Calibri"/>
                <w:color w:val="000000"/>
              </w:rPr>
            </w:pPr>
            <w:r>
              <w:rPr>
                <w:rFonts w:ascii="Calibri" w:hAnsi="Calibri"/>
                <w:color w:val="000000"/>
                <w:sz w:val="22"/>
                <w:szCs w:val="22"/>
              </w:rPr>
              <w:t>+27,33%</w:t>
            </w:r>
          </w:p>
        </w:tc>
      </w:tr>
      <w:tr w:rsidR="007A1EF5">
        <w:trPr>
          <w:trHeight w:val="340"/>
        </w:trPr>
        <w:tc>
          <w:tcPr>
            <w:tcW w:w="5120" w:type="dxa"/>
            <w:noWrap/>
          </w:tcPr>
          <w:p w:rsidR="007A1EF5" w:rsidRDefault="007A1EF5">
            <w:pPr>
              <w:rPr>
                <w:rFonts w:ascii="Calibri" w:hAnsi="Calibri"/>
                <w:color w:val="000000"/>
              </w:rPr>
            </w:pPr>
            <w:r>
              <w:rPr>
                <w:rFonts w:ascii="Calibri" w:hAnsi="Calibri"/>
                <w:color w:val="000000"/>
                <w:sz w:val="22"/>
                <w:szCs w:val="22"/>
              </w:rPr>
              <w:t>Nachstellung, Freiheitsberaubung, Bedrohung Nötigung</w:t>
            </w:r>
          </w:p>
        </w:tc>
        <w:tc>
          <w:tcPr>
            <w:tcW w:w="1200" w:type="dxa"/>
            <w:noWrap/>
          </w:tcPr>
          <w:p w:rsidR="007A1EF5" w:rsidRDefault="007A1EF5">
            <w:pPr>
              <w:jc w:val="right"/>
              <w:rPr>
                <w:rFonts w:ascii="Calibri" w:hAnsi="Calibri"/>
                <w:color w:val="000000"/>
              </w:rPr>
            </w:pPr>
            <w:r>
              <w:rPr>
                <w:rFonts w:ascii="Calibri" w:hAnsi="Calibri"/>
                <w:color w:val="000000"/>
                <w:sz w:val="22"/>
                <w:szCs w:val="22"/>
              </w:rPr>
              <w:t>32</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44</w:t>
            </w:r>
          </w:p>
        </w:tc>
        <w:tc>
          <w:tcPr>
            <w:tcW w:w="1200" w:type="dxa"/>
            <w:noWrap/>
          </w:tcPr>
          <w:p w:rsidR="007A1EF5" w:rsidRDefault="007A1EF5">
            <w:pPr>
              <w:jc w:val="right"/>
              <w:rPr>
                <w:rFonts w:ascii="Calibri" w:hAnsi="Calibri"/>
                <w:color w:val="000000"/>
              </w:rPr>
            </w:pPr>
            <w:r>
              <w:rPr>
                <w:rFonts w:ascii="Calibri" w:hAnsi="Calibri"/>
                <w:color w:val="000000"/>
                <w:sz w:val="22"/>
                <w:szCs w:val="22"/>
              </w:rPr>
              <w:t>+37,5%</w:t>
            </w:r>
          </w:p>
        </w:tc>
      </w:tr>
      <w:tr w:rsidR="007A1EF5">
        <w:trPr>
          <w:trHeight w:val="340"/>
        </w:trPr>
        <w:tc>
          <w:tcPr>
            <w:tcW w:w="5120" w:type="dxa"/>
            <w:noWrap/>
          </w:tcPr>
          <w:p w:rsidR="007A1EF5" w:rsidRDefault="007A1EF5">
            <w:pPr>
              <w:rPr>
                <w:rFonts w:ascii="Calibri" w:hAnsi="Calibri"/>
                <w:color w:val="000000"/>
              </w:rPr>
            </w:pPr>
            <w:r>
              <w:rPr>
                <w:rFonts w:ascii="Calibri" w:hAnsi="Calibri"/>
                <w:color w:val="000000"/>
                <w:sz w:val="22"/>
                <w:szCs w:val="22"/>
              </w:rPr>
              <w:t>Diebstahl gesamt</w:t>
            </w:r>
          </w:p>
        </w:tc>
        <w:tc>
          <w:tcPr>
            <w:tcW w:w="1200" w:type="dxa"/>
            <w:noWrap/>
          </w:tcPr>
          <w:p w:rsidR="007A1EF5" w:rsidRDefault="007A1EF5">
            <w:pPr>
              <w:jc w:val="right"/>
              <w:rPr>
                <w:rFonts w:ascii="Calibri" w:hAnsi="Calibri"/>
                <w:color w:val="000000"/>
              </w:rPr>
            </w:pPr>
            <w:r>
              <w:rPr>
                <w:rFonts w:ascii="Calibri" w:hAnsi="Calibri"/>
                <w:color w:val="000000"/>
                <w:sz w:val="22"/>
                <w:szCs w:val="22"/>
              </w:rPr>
              <w:t>387</w:t>
            </w:r>
          </w:p>
        </w:tc>
        <w:tc>
          <w:tcPr>
            <w:tcW w:w="1200" w:type="dxa"/>
            <w:noWrap/>
          </w:tcPr>
          <w:p w:rsidR="007A1EF5" w:rsidRDefault="007A1EF5">
            <w:pPr>
              <w:jc w:val="right"/>
              <w:rPr>
                <w:rFonts w:ascii="Calibri" w:hAnsi="Calibri"/>
                <w:color w:val="000000"/>
              </w:rPr>
            </w:pPr>
            <w:r>
              <w:rPr>
                <w:rFonts w:ascii="Calibri" w:hAnsi="Calibri"/>
                <w:color w:val="000000"/>
                <w:sz w:val="22"/>
                <w:szCs w:val="22"/>
              </w:rPr>
              <w:t>430</w:t>
            </w:r>
          </w:p>
        </w:tc>
        <w:tc>
          <w:tcPr>
            <w:tcW w:w="1200" w:type="dxa"/>
            <w:noWrap/>
          </w:tcPr>
          <w:p w:rsidR="007A1EF5" w:rsidRDefault="007A1EF5">
            <w:pPr>
              <w:jc w:val="right"/>
              <w:rPr>
                <w:rFonts w:ascii="Calibri" w:hAnsi="Calibri"/>
                <w:color w:val="000000"/>
              </w:rPr>
            </w:pPr>
            <w:r>
              <w:rPr>
                <w:rFonts w:ascii="Calibri" w:hAnsi="Calibri"/>
                <w:color w:val="000000"/>
                <w:sz w:val="22"/>
                <w:szCs w:val="22"/>
              </w:rPr>
              <w:t>+11,11%</w:t>
            </w:r>
          </w:p>
        </w:tc>
      </w:tr>
      <w:tr w:rsidR="007A1EF5">
        <w:trPr>
          <w:trHeight w:val="340"/>
        </w:trPr>
        <w:tc>
          <w:tcPr>
            <w:tcW w:w="5120" w:type="dxa"/>
            <w:tcBorders>
              <w:bottom w:val="single" w:sz="8" w:space="0" w:color="9BBB59"/>
            </w:tcBorders>
            <w:noWrap/>
          </w:tcPr>
          <w:p w:rsidR="007A1EF5" w:rsidRDefault="007A1EF5">
            <w:pPr>
              <w:rPr>
                <w:rFonts w:ascii="Calibri" w:hAnsi="Calibri"/>
                <w:color w:val="000000"/>
              </w:rPr>
            </w:pPr>
            <w:r>
              <w:rPr>
                <w:noProof/>
              </w:rPr>
              <w:pict>
                <v:shape id="_x0000_s1061" type="#_x0000_t202" style="position:absolute;margin-left:199.55pt;margin-top:15.5pt;width:63pt;height:17.9pt;z-index:251669504;mso-position-horizontal-relative:text;mso-position-vertical-relative:text" filled="f" stroked="f">
                  <v:textbox style="mso-next-textbox:#_x0000_s1061">
                    <w:txbxContent>
                      <w:p w:rsidR="007A1EF5" w:rsidRPr="00931AD9" w:rsidRDefault="007A1EF5">
                        <w:pPr>
                          <w:rPr>
                            <w:sz w:val="16"/>
                            <w:szCs w:val="16"/>
                          </w:rPr>
                        </w:pPr>
                        <w:r w:rsidRPr="00931AD9">
                          <w:rPr>
                            <w:sz w:val="16"/>
                            <w:szCs w:val="16"/>
                          </w:rPr>
                          <w:t>Abbildung</w:t>
                        </w:r>
                        <w:r>
                          <w:rPr>
                            <w:sz w:val="16"/>
                            <w:szCs w:val="16"/>
                          </w:rPr>
                          <w:t xml:space="preserve"> 35</w:t>
                        </w:r>
                      </w:p>
                    </w:txbxContent>
                  </v:textbox>
                </v:shape>
              </w:pict>
            </w:r>
            <w:r>
              <w:rPr>
                <w:rFonts w:ascii="Calibri" w:hAnsi="Calibri"/>
                <w:color w:val="000000"/>
                <w:sz w:val="22"/>
                <w:szCs w:val="22"/>
              </w:rPr>
              <w:t>Sachbeschädigung</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121</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122</w:t>
            </w:r>
          </w:p>
        </w:tc>
        <w:tc>
          <w:tcPr>
            <w:tcW w:w="1200" w:type="dxa"/>
            <w:tcBorders>
              <w:bottom w:val="single" w:sz="8" w:space="0" w:color="9BBB59"/>
            </w:tcBorders>
            <w:noWrap/>
          </w:tcPr>
          <w:p w:rsidR="007A1EF5" w:rsidRDefault="007A1EF5">
            <w:pPr>
              <w:jc w:val="right"/>
              <w:rPr>
                <w:rFonts w:ascii="Calibri" w:hAnsi="Calibri"/>
                <w:color w:val="000000"/>
              </w:rPr>
            </w:pPr>
            <w:r>
              <w:rPr>
                <w:rFonts w:ascii="Calibri" w:hAnsi="Calibri"/>
                <w:color w:val="000000"/>
                <w:sz w:val="22"/>
                <w:szCs w:val="22"/>
              </w:rPr>
              <w:t>+0,83</w:t>
            </w:r>
          </w:p>
        </w:tc>
      </w:tr>
    </w:tbl>
    <w:p w:rsidR="007A1EF5" w:rsidRDefault="007A1EF5">
      <w:pPr>
        <w:pStyle w:val="ListParagraph"/>
        <w:spacing w:line="360" w:lineRule="auto"/>
        <w:ind w:left="0"/>
        <w:rPr>
          <w:rFonts w:ascii="Calibri" w:hAnsi="Calibri" w:cs="Arial"/>
          <w:highlight w:val="cyan"/>
        </w:rPr>
      </w:pPr>
    </w:p>
    <w:p w:rsidR="007A1EF5" w:rsidRDefault="007A1EF5">
      <w:pPr>
        <w:pStyle w:val="ListParagraph"/>
        <w:spacing w:line="360" w:lineRule="auto"/>
        <w:ind w:left="0"/>
        <w:jc w:val="both"/>
        <w:rPr>
          <w:rFonts w:ascii="Calibri" w:hAnsi="Calibri" w:cs="Arial"/>
        </w:rPr>
      </w:pPr>
      <w:r>
        <w:rPr>
          <w:rFonts w:ascii="Calibri" w:hAnsi="Calibri" w:cs="Arial"/>
        </w:rPr>
        <w:t>Die Anzahl der Strafanzeigen bei häuslicher Gewalt hat sich in den Jahren zwischen 2003 und 2008 unterschiedlich entwickelt. Während es 2003 noch 155 Anzeigen wegen häuslicher Gewalt gab, waren es im Jahr 2006 bereits 170 Anzeigen und 2008 wurden 406 Anzeigen verzeichnet. Dieser Anstieg der Strafanzeigen in den Jahren zwischen 2006 und 2008 wegen häuslicher Gewalt weist jedoch nicht eindeutig darauf hin, dass die Fälle von häuslicher Gewalt tatsächlich zugenommen haben, die steigenden Zahlen weisen eher darauf hin, dass sich die Bereitschaft, solche Fälle anzuzeigen, erhöht hat. Dies ist auf die Enttabuisierung des Themas in der Öffentlichkeit zurückzuführen und zeigt, dass ein weiteres Engagement in dieser Sache geboten ist.</w:t>
      </w:r>
    </w:p>
    <w:p w:rsidR="007A1EF5" w:rsidRDefault="007A1EF5">
      <w:pPr>
        <w:pStyle w:val="ListParagraph"/>
        <w:spacing w:line="360" w:lineRule="auto"/>
        <w:ind w:left="0"/>
        <w:jc w:val="both"/>
        <w:rPr>
          <w:rFonts w:ascii="Calibri" w:hAnsi="Calibri" w:cs="Arial"/>
        </w:rPr>
      </w:pPr>
    </w:p>
    <w:p w:rsidR="007A1EF5" w:rsidRDefault="007A1EF5">
      <w:pPr>
        <w:pStyle w:val="ListParagraph"/>
        <w:ind w:left="0"/>
        <w:rPr>
          <w:rFonts w:ascii="Calibri" w:hAnsi="Calibri" w:cs="Arial"/>
        </w:rPr>
      </w:pPr>
      <w:r w:rsidRPr="00DD0F19">
        <w:rPr>
          <w:rFonts w:ascii="Calibri" w:hAnsi="Calibri" w:cs="Arial"/>
          <w:noProof/>
        </w:rPr>
        <w:object w:dxaOrig="8929" w:dyaOrig="4714">
          <v:shape id="Objekt 29" o:spid="_x0000_i1058" type="#_x0000_t75" style="width:446.25pt;height:233.25pt;visibility:visible" o:ole="">
            <v:imagedata r:id="rId69" o:title=""/>
            <o:lock v:ext="edit" aspectratio="f"/>
          </v:shape>
          <o:OLEObject Type="Embed" ProgID="Excel.Chart.8" ShapeID="Objekt 29" DrawAspect="Content" ObjectID="_1330351658" r:id="rId70"/>
        </w:object>
      </w:r>
    </w:p>
    <w:p w:rsidR="007A1EF5" w:rsidRDefault="007A1EF5">
      <w:pPr>
        <w:spacing w:line="360" w:lineRule="auto"/>
        <w:ind w:left="720"/>
        <w:outlineLvl w:val="0"/>
        <w:rPr>
          <w:rFonts w:ascii="Calibri" w:hAnsi="Calibri" w:cs="Arial"/>
        </w:rPr>
      </w:pPr>
      <w:r>
        <w:rPr>
          <w:noProof/>
        </w:rPr>
        <w:pict>
          <v:shape id="_x0000_s1062" type="#_x0000_t202" style="position:absolute;left:0;text-align:left;margin-left:194.15pt;margin-top:8.35pt;width:63pt;height:17.9pt;z-index:251670528" filled="f" stroked="f">
            <v:textbox style="mso-next-textbox:#_x0000_s1062">
              <w:txbxContent>
                <w:p w:rsidR="007A1EF5" w:rsidRPr="00931AD9" w:rsidRDefault="007A1EF5">
                  <w:pPr>
                    <w:rPr>
                      <w:sz w:val="16"/>
                      <w:szCs w:val="16"/>
                    </w:rPr>
                  </w:pPr>
                  <w:r w:rsidRPr="00931AD9">
                    <w:rPr>
                      <w:sz w:val="16"/>
                      <w:szCs w:val="16"/>
                    </w:rPr>
                    <w:t>Abbildung</w:t>
                  </w:r>
                  <w:r>
                    <w:rPr>
                      <w:sz w:val="16"/>
                      <w:szCs w:val="16"/>
                    </w:rPr>
                    <w:t xml:space="preserve"> 36</w:t>
                  </w:r>
                </w:p>
              </w:txbxContent>
            </v:textbox>
          </v:shape>
        </w:pict>
      </w:r>
      <w:r>
        <w:rPr>
          <w:rFonts w:ascii="Calibri" w:hAnsi="Calibri" w:cs="Arial"/>
        </w:rPr>
        <w:br w:type="page"/>
      </w:r>
    </w:p>
    <w:p w:rsidR="007A1EF5" w:rsidRPr="00FF09C0" w:rsidRDefault="007A1EF5">
      <w:pPr>
        <w:pBdr>
          <w:bottom w:val="single" w:sz="4" w:space="1" w:color="auto"/>
        </w:pBdr>
        <w:spacing w:line="360" w:lineRule="auto"/>
        <w:jc w:val="both"/>
        <w:rPr>
          <w:rFonts w:ascii="Calibri" w:hAnsi="Calibri" w:cs="Arial"/>
          <w:b/>
        </w:rPr>
      </w:pPr>
      <w:r w:rsidRPr="00FF09C0">
        <w:rPr>
          <w:rFonts w:ascii="Calibri" w:hAnsi="Calibri" w:cs="Arial"/>
          <w:b/>
        </w:rPr>
        <w:t>(9) Zusammenfassung der wichtigsten Ergebnisse des Sozialmonitorings</w:t>
      </w:r>
    </w:p>
    <w:p w:rsidR="007A1EF5" w:rsidRDefault="007A1EF5">
      <w:pPr>
        <w:spacing w:line="360" w:lineRule="auto"/>
        <w:jc w:val="both"/>
        <w:rPr>
          <w:rFonts w:ascii="Calibri" w:hAnsi="Calibri" w:cs="Arial"/>
        </w:rPr>
      </w:pPr>
    </w:p>
    <w:p w:rsidR="007A1EF5" w:rsidRDefault="007A1EF5">
      <w:pPr>
        <w:numPr>
          <w:ilvl w:val="0"/>
          <w:numId w:val="39"/>
          <w:numberingChange w:id="53" w:author="STV-50-VOGT" w:date="2010-03-17T17:16:00Z" w:original=""/>
        </w:numPr>
        <w:spacing w:line="360" w:lineRule="auto"/>
        <w:jc w:val="both"/>
        <w:rPr>
          <w:rFonts w:ascii="Calibri" w:hAnsi="Calibri"/>
        </w:rPr>
      </w:pPr>
      <w:r>
        <w:rPr>
          <w:rFonts w:ascii="Calibri" w:hAnsi="Calibri"/>
        </w:rPr>
        <w:t>Die Stadt Leverkusen ist, wie viele andere Großstädte auch, den Folgen eines tief greifenden demografischen und ökonomischen Wandels unterworfen. Dieser äußert sich in nahezu allen Lebensbereichen der Bürgerinnen und Bürger. Zwar kommt es in Leverkusen noch nicht zu einer Schrumpfung der Bevölkerung, wohl aber verändern sich Alters- und Haushaltsstrukturen deutlich.</w:t>
      </w:r>
    </w:p>
    <w:p w:rsidR="007A1EF5" w:rsidRDefault="007A1EF5">
      <w:pPr>
        <w:spacing w:line="360" w:lineRule="auto"/>
        <w:ind w:left="720"/>
        <w:jc w:val="both"/>
        <w:rPr>
          <w:rFonts w:ascii="Calibri" w:hAnsi="Calibri"/>
        </w:rPr>
      </w:pPr>
    </w:p>
    <w:p w:rsidR="007A1EF5" w:rsidRDefault="007A1EF5">
      <w:pPr>
        <w:numPr>
          <w:ilvl w:val="0"/>
          <w:numId w:val="39"/>
          <w:numberingChange w:id="54" w:author="STV-50-VOGT" w:date="2010-03-17T17:16:00Z" w:original=""/>
        </w:numPr>
        <w:spacing w:line="360" w:lineRule="auto"/>
        <w:jc w:val="both"/>
        <w:rPr>
          <w:rFonts w:ascii="Calibri" w:hAnsi="Calibri"/>
        </w:rPr>
      </w:pPr>
      <w:r>
        <w:rPr>
          <w:rFonts w:ascii="Calibri" w:hAnsi="Calibri"/>
        </w:rPr>
        <w:t>Die Gefahr einer zunehmenden sozialen Spaltung der Gesellschaft besteht. Bereits heute ergeben sich deutliche Unterschiede, räumlich betrachtet zwischen eher privilegierten und benachteiligten Stadtteilen sowie zwischen Altersgruppen. Kinder und Familien sind häufiger von Armut betroffen bzw. gefährdet als ältere Menschen.</w:t>
      </w:r>
    </w:p>
    <w:p w:rsidR="007A1EF5" w:rsidRDefault="007A1EF5">
      <w:pPr>
        <w:pStyle w:val="ListParagraph"/>
        <w:rPr>
          <w:rFonts w:ascii="Calibri" w:hAnsi="Calibri"/>
        </w:rPr>
      </w:pPr>
    </w:p>
    <w:p w:rsidR="007A1EF5" w:rsidRDefault="007A1EF5">
      <w:pPr>
        <w:numPr>
          <w:ilvl w:val="0"/>
          <w:numId w:val="39"/>
          <w:numberingChange w:id="55" w:author="STV-50-VOGT" w:date="2010-03-17T17:16:00Z" w:original=""/>
        </w:numPr>
        <w:spacing w:line="360" w:lineRule="auto"/>
        <w:jc w:val="both"/>
        <w:rPr>
          <w:rFonts w:ascii="Calibri" w:hAnsi="Calibri"/>
        </w:rPr>
      </w:pPr>
      <w:r>
        <w:rPr>
          <w:rFonts w:ascii="Calibri" w:hAnsi="Calibri"/>
        </w:rPr>
        <w:t>Insbesondere bei den Einkommens- und Arbeitsverhältnissen werden Ungleichheiten erkennbar. Der Anteil einkommensschwacher Personen in unsicheren Erwerbssituationen steigt. Der Anteil geringfügiger Beschäftigter steigt symmetrisch zum Rückgang sozialversicherungspflichtiger Erwerbsverhältnisse. Auch die politische Beteiligungsbereitschaft sinkt. Im Bereich der Kriminalität sind erste negative Folgen des gesellschaftlichen Wandels und mangelnder Integration zu erkennen.</w:t>
      </w:r>
    </w:p>
    <w:p w:rsidR="007A1EF5" w:rsidRDefault="007A1EF5">
      <w:pPr>
        <w:pStyle w:val="ListParagraph"/>
        <w:rPr>
          <w:rFonts w:ascii="Calibri" w:hAnsi="Calibri"/>
        </w:rPr>
      </w:pPr>
    </w:p>
    <w:p w:rsidR="007A1EF5" w:rsidRDefault="007A1EF5">
      <w:pPr>
        <w:numPr>
          <w:ilvl w:val="0"/>
          <w:numId w:val="39"/>
          <w:numberingChange w:id="56" w:author="STV-50-VOGT" w:date="2010-03-17T17:16:00Z" w:original=""/>
        </w:numPr>
        <w:spacing w:line="360" w:lineRule="auto"/>
        <w:jc w:val="both"/>
        <w:rPr>
          <w:rFonts w:ascii="Calibri" w:hAnsi="Calibri"/>
        </w:rPr>
      </w:pPr>
      <w:r>
        <w:rPr>
          <w:rFonts w:ascii="Calibri" w:hAnsi="Calibri"/>
        </w:rPr>
        <w:t>Nach wie vor gute Ergebnisse erreicht die Stadt in den Bereichen Bildung, Wohnen und Gesundheit. Stabile Versorgungskonzepte in diesen Feldern stärken den Standort Leverkusen. Daher gilt es diese zu bewahren und weiterzuentwickeln.</w:t>
      </w:r>
    </w:p>
    <w:p w:rsidR="007A1EF5" w:rsidRDefault="007A1EF5">
      <w:pPr>
        <w:pStyle w:val="ListParagraph"/>
        <w:rPr>
          <w:rFonts w:ascii="Calibri" w:hAnsi="Calibri"/>
        </w:rPr>
      </w:pPr>
    </w:p>
    <w:p w:rsidR="007A1EF5" w:rsidRDefault="007A1EF5">
      <w:pPr>
        <w:numPr>
          <w:ilvl w:val="0"/>
          <w:numId w:val="39"/>
          <w:numberingChange w:id="57" w:author="STV-50-VOGT" w:date="2010-03-17T17:16:00Z" w:original=""/>
        </w:numPr>
        <w:spacing w:line="360" w:lineRule="auto"/>
        <w:jc w:val="both"/>
        <w:rPr>
          <w:rFonts w:ascii="Calibri" w:hAnsi="Calibri"/>
        </w:rPr>
      </w:pPr>
      <w:r>
        <w:rPr>
          <w:rFonts w:ascii="Calibri" w:hAnsi="Calibri"/>
        </w:rPr>
        <w:t>In einigen Feldern besteht vorrangiger Handlungsbedarf. Der hohe Anteil von Zuwanderinnen und Zuwanderern in der Stadt erfordert systematische Bemühungen für eine bessere Integration. Mit dem Integrationskonzept hat die Stadt Leverkusen den Grundstein dafür bereits gelegt.</w:t>
      </w:r>
    </w:p>
    <w:p w:rsidR="007A1EF5" w:rsidRDefault="007A1EF5">
      <w:pPr>
        <w:pStyle w:val="ListParagraph"/>
        <w:rPr>
          <w:rFonts w:ascii="Calibri" w:hAnsi="Calibri"/>
        </w:rPr>
      </w:pPr>
    </w:p>
    <w:p w:rsidR="007A1EF5" w:rsidRDefault="007A1EF5">
      <w:pPr>
        <w:pStyle w:val="ListParagraph"/>
        <w:rPr>
          <w:rFonts w:ascii="Calibri" w:hAnsi="Calibri"/>
        </w:rPr>
      </w:pPr>
    </w:p>
    <w:p w:rsidR="007A1EF5" w:rsidRDefault="007A1EF5">
      <w:pPr>
        <w:pStyle w:val="ListParagraph"/>
        <w:rPr>
          <w:rFonts w:ascii="Calibri" w:hAnsi="Calibri"/>
        </w:rPr>
      </w:pPr>
    </w:p>
    <w:p w:rsidR="007A1EF5" w:rsidRDefault="007A1EF5">
      <w:pPr>
        <w:pStyle w:val="ListParagraph"/>
        <w:rPr>
          <w:rFonts w:ascii="Calibri" w:hAnsi="Calibri"/>
        </w:rPr>
      </w:pPr>
    </w:p>
    <w:p w:rsidR="007A1EF5" w:rsidRDefault="007A1EF5">
      <w:pPr>
        <w:pStyle w:val="ListParagraph"/>
        <w:rPr>
          <w:rFonts w:ascii="Calibri" w:hAnsi="Calibri"/>
        </w:rPr>
      </w:pPr>
    </w:p>
    <w:p w:rsidR="007A1EF5" w:rsidRDefault="007A1EF5">
      <w:pPr>
        <w:numPr>
          <w:ilvl w:val="0"/>
          <w:numId w:val="39"/>
          <w:numberingChange w:id="58" w:author="STV-50-VOGT" w:date="2010-03-17T17:16:00Z" w:original=""/>
        </w:numPr>
        <w:spacing w:line="360" w:lineRule="auto"/>
        <w:jc w:val="both"/>
        <w:rPr>
          <w:rFonts w:ascii="Calibri" w:hAnsi="Calibri"/>
        </w:rPr>
      </w:pPr>
      <w:r>
        <w:rPr>
          <w:rFonts w:ascii="Calibri" w:hAnsi="Calibri"/>
        </w:rPr>
        <w:t>Die Stadt Leverkusen muss vorhandene Bildungsangebote noch weiter dem Bedarf anpassen und sie als einen Beitrag zur Stadtentwicklung im Sinne einer Gerechtigkeitskultur sehen. Dies bedeutet, vorhandene Angebote zu stärken und miteinander zu vernetzen.</w:t>
      </w:r>
    </w:p>
    <w:p w:rsidR="007A1EF5" w:rsidRDefault="007A1EF5" w:rsidP="00931AD9">
      <w:pPr>
        <w:spacing w:line="360" w:lineRule="auto"/>
        <w:ind w:left="360"/>
        <w:jc w:val="both"/>
        <w:rPr>
          <w:rFonts w:ascii="Calibri" w:hAnsi="Calibri"/>
        </w:rPr>
      </w:pPr>
    </w:p>
    <w:p w:rsidR="007A1EF5" w:rsidRDefault="007A1EF5">
      <w:pPr>
        <w:numPr>
          <w:ilvl w:val="0"/>
          <w:numId w:val="39"/>
          <w:numberingChange w:id="59" w:author="STV-50-VOGT" w:date="2010-03-17T17:16:00Z" w:original=""/>
        </w:numPr>
        <w:spacing w:line="360" w:lineRule="auto"/>
        <w:jc w:val="both"/>
        <w:rPr>
          <w:rFonts w:ascii="Calibri" w:hAnsi="Calibri"/>
        </w:rPr>
      </w:pPr>
      <w:r>
        <w:rPr>
          <w:rFonts w:ascii="Calibri" w:hAnsi="Calibri"/>
        </w:rPr>
        <w:t>Die Stadtpolitik muss sich vermehrt für eine Stärkung des Handlungsfelds Arbeit und Wirtschaft bemühen. Innovationen im Industriesektor müssen genauso wie ökonomische Entwicklungen in anderen Branchen zu mehr Wohlstand führen, an dem alle teilhaben können.</w:t>
      </w:r>
    </w:p>
    <w:p w:rsidR="007A1EF5" w:rsidRDefault="007A1EF5">
      <w:pPr>
        <w:spacing w:line="360" w:lineRule="auto"/>
        <w:ind w:left="720"/>
        <w:jc w:val="both"/>
        <w:rPr>
          <w:rFonts w:ascii="Calibri" w:hAnsi="Calibri"/>
        </w:rPr>
      </w:pPr>
    </w:p>
    <w:p w:rsidR="007A1EF5" w:rsidRDefault="007A1EF5">
      <w:pPr>
        <w:numPr>
          <w:ilvl w:val="0"/>
          <w:numId w:val="39"/>
          <w:numberingChange w:id="60" w:author="STV-50-VOGT" w:date="2010-03-17T17:16:00Z" w:original=""/>
        </w:numPr>
        <w:spacing w:line="360" w:lineRule="auto"/>
        <w:jc w:val="both"/>
        <w:rPr>
          <w:rFonts w:ascii="Calibri" w:hAnsi="Calibri"/>
        </w:rPr>
      </w:pPr>
      <w:r>
        <w:rPr>
          <w:rFonts w:ascii="Calibri" w:hAnsi="Calibri"/>
        </w:rPr>
        <w:t>Die soziale Inklusion von benachteiligten Bevölkerungsgruppen sollte anhand von konkreten Projekten und Maßnahmen realisiert werden. Lösungsansätze müssen die Expertinnen und Experten aus unterschiedlichen beruflichen Feldern stärker als bislang gemeinsam entwickeln.</w:t>
      </w:r>
    </w:p>
    <w:p w:rsidR="007A1EF5" w:rsidRDefault="007A1EF5">
      <w:pPr>
        <w:spacing w:line="360" w:lineRule="auto"/>
        <w:jc w:val="both"/>
        <w:rPr>
          <w:rFonts w:ascii="Calibri" w:hAnsi="Calibri"/>
        </w:rPr>
      </w:pPr>
    </w:p>
    <w:p w:rsidR="007A1EF5" w:rsidRDefault="007A1EF5">
      <w:pPr>
        <w:spacing w:line="360" w:lineRule="auto"/>
        <w:ind w:left="720"/>
        <w:outlineLvl w:val="0"/>
        <w:rPr>
          <w:rFonts w:ascii="Calibri" w:hAnsi="Calibri" w:cs="Arial"/>
        </w:rPr>
      </w:pPr>
    </w:p>
    <w:p w:rsidR="007A1EF5" w:rsidRPr="00FF09C0" w:rsidRDefault="007A1EF5">
      <w:pPr>
        <w:spacing w:line="360" w:lineRule="auto"/>
        <w:outlineLvl w:val="0"/>
        <w:rPr>
          <w:rFonts w:ascii="Calibri" w:hAnsi="Calibri" w:cs="Arial"/>
          <w:b/>
        </w:rPr>
      </w:pPr>
      <w:r>
        <w:rPr>
          <w:rFonts w:ascii="Calibri" w:hAnsi="Calibri" w:cs="Arial"/>
          <w:sz w:val="28"/>
          <w:szCs w:val="28"/>
        </w:rPr>
        <w:br w:type="page"/>
      </w:r>
      <w:r w:rsidRPr="00FF09C0">
        <w:rPr>
          <w:rFonts w:ascii="Calibri" w:hAnsi="Calibri" w:cs="Arial"/>
          <w:b/>
        </w:rPr>
        <w:t>III.2. Ergebnisse der Sozialraumanalyse</w:t>
      </w:r>
    </w:p>
    <w:p w:rsidR="007A1EF5" w:rsidRDefault="007A1EF5">
      <w:pPr>
        <w:rPr>
          <w:rFonts w:ascii="Calibri" w:hAnsi="Calibri" w:cs="Arial"/>
          <w:b/>
          <w:sz w:val="28"/>
          <w:szCs w:val="28"/>
        </w:rPr>
      </w:pPr>
    </w:p>
    <w:p w:rsidR="007A1EF5" w:rsidRPr="00FF09C0" w:rsidRDefault="007A1EF5">
      <w:pPr>
        <w:pBdr>
          <w:bottom w:val="single" w:sz="4" w:space="1" w:color="auto"/>
        </w:pBdr>
        <w:spacing w:line="360" w:lineRule="auto"/>
        <w:jc w:val="both"/>
        <w:rPr>
          <w:rFonts w:ascii="Calibri" w:hAnsi="Calibri" w:cs="Arial"/>
          <w:b/>
        </w:rPr>
      </w:pPr>
      <w:r w:rsidRPr="00FF09C0">
        <w:rPr>
          <w:rFonts w:ascii="Calibri" w:hAnsi="Calibri" w:cs="Arial"/>
          <w:b/>
        </w:rPr>
        <w:t>(1) Bevölkerungsstruktur im Vergleich</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ethnische Herkunft fasst Personen mit einheitlicher Kultur, Sprache oder Religion zu einer Gruppe zusammen. Diese Personen verfügen über eine gemeinsame Abstammung oder gemeinsame Vorfahren. Von geschätzt 48.000 Leverkusenerinnen und Leverkusenern, die dem Integrationsbericht des Landes zufolge über Zuwanderungsgeschichte verfügen, weisen nicht alle einen „besonderen Integrationsbedarf“ auf. Daher gilt die ethnische Zugehörigkeit von Personen nur als eines der beiden demografischen Merkmale, die einen besonderen Hinweis auf eine bestimmte Struktur von Stadtteilen und Wohngebieten, um Abweichungen gegenüber dem gesamtstädtischen Wert festzustellen. Zugrunde gelegt wird der Anteil von Ausländern und Personen mit doppelter Staatsangehörigkeit. Die Struktur in den Stadtteilen und Wohngebieten (Abbildung 37) zeigt zum Stichtag 31.12.2008, dass insbesondere in zentral gelegenen Räumen wie zum Beispiel Manfort, Wiesdorf und Quettingen der Anteil der Zuwanderinnen und Zuwanderer an der Bevölkerung überdurchschnittlich hoch ist.</w:t>
      </w:r>
    </w:p>
    <w:p w:rsidR="007A1EF5" w:rsidRDefault="007A1EF5">
      <w:pPr>
        <w:spacing w:line="360" w:lineRule="auto"/>
        <w:jc w:val="both"/>
        <w:rPr>
          <w:rFonts w:ascii="Calibri" w:hAnsi="Calibri" w:cs="Arial"/>
        </w:rPr>
      </w:pPr>
      <w:r>
        <w:rPr>
          <w:noProof/>
        </w:rPr>
        <w:pict>
          <v:shape id="_x0000_s1063" type="#_x0000_t202" style="position:absolute;left:0;text-align:left;margin-left:140.15pt;margin-top:270.1pt;width:63pt;height:17.9pt;z-index:251671552" filled="f" stroked="f">
            <v:textbox style="mso-next-textbox:#_x0000_s1063">
              <w:txbxContent>
                <w:p w:rsidR="007A1EF5" w:rsidRPr="00931AD9" w:rsidRDefault="007A1EF5">
                  <w:pPr>
                    <w:rPr>
                      <w:sz w:val="16"/>
                      <w:szCs w:val="16"/>
                    </w:rPr>
                  </w:pPr>
                  <w:r w:rsidRPr="00931AD9">
                    <w:rPr>
                      <w:sz w:val="16"/>
                      <w:szCs w:val="16"/>
                    </w:rPr>
                    <w:t>Abbildung</w:t>
                  </w:r>
                  <w:r>
                    <w:rPr>
                      <w:sz w:val="16"/>
                      <w:szCs w:val="16"/>
                    </w:rPr>
                    <w:t xml:space="preserve"> 37</w:t>
                  </w:r>
                </w:p>
              </w:txbxContent>
            </v:textbox>
          </v:shape>
        </w:pict>
      </w:r>
      <w:r w:rsidRPr="00EE6920">
        <w:rPr>
          <w:rFonts w:ascii="Calibri" w:hAnsi="Calibri" w:cs="Arial"/>
          <w:noProof/>
        </w:rPr>
        <w:pict>
          <v:shape id="Bild 1" o:spid="_x0000_i1059" type="#_x0000_t75" style="width:345pt;height:267pt;visibility:visible" o:bordertopcolor="black" o:borderleftcolor="black" o:borderbottomcolor="black" o:borderrightcolor="black">
            <v:imagedata r:id="rId71" o:title=""/>
            <w10:bordertop type="single" width="2"/>
            <w10:borderleft type="single" width="2"/>
            <w10:borderbottom type="single" width="2"/>
            <w10:borderright type="single" width="2"/>
          </v:shape>
        </w:pic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rPr>
      </w:pPr>
      <w:r>
        <w:rPr>
          <w:rFonts w:ascii="Calibri" w:hAnsi="Calibri"/>
        </w:rPr>
        <w:t>Die Einteilung der statistischen Quartiere in fünf Klassen zeigt, dass von elf von ihnen eine stark überdurchschnittliche Abweichung gegenüber der Gesamtstadt aufweisen. Im Wohnpark Steinbüchel gefolgt von Manfort-Südost ist der Anteil der Ausländer und „Doppelstaatler“ an der Bevölkerung am größten. Weitere fünfzehn der statistischen Quartiere weisen eine überdurchschnittliche Abweichung gegenüber dem Mittelwert auf.</w:t>
      </w:r>
    </w:p>
    <w:p w:rsidR="007A1EF5" w:rsidRDefault="007A1EF5">
      <w:pPr>
        <w:jc w:val="both"/>
        <w:rPr>
          <w:rFonts w:ascii="Calibri" w:hAnsi="Calibri"/>
          <w:color w:val="FF0000"/>
        </w:rPr>
      </w:pPr>
    </w:p>
    <w:tbl>
      <w:tblPr>
        <w:tblW w:w="7582" w:type="dxa"/>
        <w:tblInd w:w="250" w:type="dxa"/>
        <w:tblBorders>
          <w:top w:val="single" w:sz="8" w:space="0" w:color="C0504D"/>
          <w:left w:val="single" w:sz="8" w:space="0" w:color="C0504D"/>
          <w:bottom w:val="single" w:sz="8" w:space="0" w:color="C0504D"/>
          <w:right w:val="single" w:sz="8" w:space="0" w:color="C0504D"/>
        </w:tblBorders>
        <w:tblLook w:val="0000"/>
      </w:tblPr>
      <w:tblGrid>
        <w:gridCol w:w="5143"/>
        <w:gridCol w:w="2439"/>
      </w:tblGrid>
      <w:tr w:rsidR="007A1EF5">
        <w:trPr>
          <w:trHeight w:val="397"/>
        </w:trPr>
        <w:tc>
          <w:tcPr>
            <w:tcW w:w="7582" w:type="dxa"/>
            <w:gridSpan w:val="2"/>
            <w:tcBorders>
              <w:top w:val="single" w:sz="8" w:space="0" w:color="C0504D"/>
            </w:tcBorders>
          </w:tcPr>
          <w:p w:rsidR="007A1EF5" w:rsidRDefault="007A1EF5">
            <w:pPr>
              <w:jc w:val="both"/>
              <w:rPr>
                <w:rFonts w:ascii="Calibri" w:hAnsi="Calibri"/>
              </w:rPr>
            </w:pPr>
            <w:bookmarkStart w:id="61" w:name="OLE_LINK5"/>
            <w:bookmarkStart w:id="62" w:name="OLE_LINK6"/>
            <w:r>
              <w:rPr>
                <w:rFonts w:ascii="Calibri" w:hAnsi="Calibri"/>
                <w:sz w:val="22"/>
                <w:szCs w:val="22"/>
              </w:rPr>
              <w:t>Ausländer und Doppelstaatler/Gesamtbevölkerung (in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Statistisches Quartier</w:t>
            </w:r>
          </w:p>
        </w:tc>
        <w:tc>
          <w:tcPr>
            <w:tcW w:w="2439" w:type="dxa"/>
          </w:tcPr>
          <w:p w:rsidR="007A1EF5" w:rsidRDefault="007A1EF5">
            <w:pPr>
              <w:jc w:val="both"/>
              <w:rPr>
                <w:rFonts w:ascii="Calibri" w:hAnsi="Calibri"/>
                <w:color w:val="FF0000"/>
              </w:rPr>
            </w:pPr>
            <w:r>
              <w:rPr>
                <w:rFonts w:ascii="Calibri" w:hAnsi="Calibri"/>
                <w:color w:val="FF0000"/>
                <w:sz w:val="22"/>
                <w:szCs w:val="22"/>
              </w:rPr>
              <w:t>Anteil</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Wohnpark Steinbüchel (Nr. 64)</w:t>
            </w:r>
          </w:p>
        </w:tc>
        <w:tc>
          <w:tcPr>
            <w:tcW w:w="2439" w:type="dxa"/>
          </w:tcPr>
          <w:p w:rsidR="007A1EF5" w:rsidRDefault="007A1EF5">
            <w:pPr>
              <w:jc w:val="both"/>
              <w:rPr>
                <w:rFonts w:ascii="Calibri" w:hAnsi="Calibri"/>
                <w:color w:val="FF0000"/>
              </w:rPr>
            </w:pPr>
            <w:r>
              <w:rPr>
                <w:rFonts w:ascii="Calibri" w:hAnsi="Calibri"/>
                <w:color w:val="FF0000"/>
                <w:sz w:val="22"/>
                <w:szCs w:val="22"/>
              </w:rPr>
              <w:t>48,7 %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Manfort-Südost (Nr. 15)</w:t>
            </w:r>
          </w:p>
        </w:tc>
        <w:tc>
          <w:tcPr>
            <w:tcW w:w="2439" w:type="dxa"/>
          </w:tcPr>
          <w:p w:rsidR="007A1EF5" w:rsidRDefault="007A1EF5">
            <w:pPr>
              <w:jc w:val="both"/>
              <w:rPr>
                <w:rFonts w:ascii="Calibri" w:hAnsi="Calibri"/>
                <w:color w:val="FF0000"/>
              </w:rPr>
            </w:pPr>
            <w:r>
              <w:rPr>
                <w:rFonts w:ascii="Calibri" w:hAnsi="Calibri"/>
                <w:color w:val="FF0000"/>
                <w:sz w:val="22"/>
                <w:szCs w:val="22"/>
              </w:rPr>
              <w:t>47,6 %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Baumberger Straße/Monheimer Straße (Nr. 19)</w:t>
            </w:r>
          </w:p>
        </w:tc>
        <w:tc>
          <w:tcPr>
            <w:tcW w:w="2439" w:type="dxa"/>
          </w:tcPr>
          <w:p w:rsidR="007A1EF5" w:rsidRDefault="007A1EF5">
            <w:pPr>
              <w:jc w:val="both"/>
              <w:rPr>
                <w:rFonts w:ascii="Calibri" w:hAnsi="Calibri"/>
                <w:color w:val="FF0000"/>
              </w:rPr>
            </w:pPr>
            <w:r>
              <w:rPr>
                <w:rFonts w:ascii="Calibri" w:hAnsi="Calibri"/>
                <w:color w:val="FF0000"/>
                <w:sz w:val="22"/>
                <w:szCs w:val="22"/>
              </w:rPr>
              <w:t>39,4 %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Wiesdorf-Altstadt (Nr. 3)</w:t>
            </w:r>
          </w:p>
        </w:tc>
        <w:tc>
          <w:tcPr>
            <w:tcW w:w="2439" w:type="dxa"/>
          </w:tcPr>
          <w:p w:rsidR="007A1EF5" w:rsidRDefault="007A1EF5">
            <w:pPr>
              <w:jc w:val="both"/>
              <w:rPr>
                <w:rFonts w:ascii="Calibri" w:hAnsi="Calibri"/>
                <w:color w:val="FF0000"/>
              </w:rPr>
            </w:pPr>
            <w:r>
              <w:rPr>
                <w:rFonts w:ascii="Calibri" w:hAnsi="Calibri"/>
                <w:color w:val="FF0000"/>
                <w:sz w:val="22"/>
                <w:szCs w:val="22"/>
              </w:rPr>
              <w:t>38,8 %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Manfort-Süwest (Nr. 16)</w:t>
            </w:r>
          </w:p>
        </w:tc>
        <w:tc>
          <w:tcPr>
            <w:tcW w:w="2439" w:type="dxa"/>
          </w:tcPr>
          <w:p w:rsidR="007A1EF5" w:rsidRDefault="007A1EF5">
            <w:pPr>
              <w:jc w:val="both"/>
              <w:rPr>
                <w:rFonts w:ascii="Calibri" w:hAnsi="Calibri"/>
                <w:color w:val="FF0000"/>
              </w:rPr>
            </w:pPr>
            <w:r>
              <w:rPr>
                <w:rFonts w:ascii="Calibri" w:hAnsi="Calibri"/>
                <w:color w:val="FF0000"/>
                <w:sz w:val="22"/>
                <w:szCs w:val="22"/>
              </w:rPr>
              <w:t>36,4 %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Elbestraße/Solinger Straße (Nr. 17)</w:t>
            </w:r>
          </w:p>
        </w:tc>
        <w:tc>
          <w:tcPr>
            <w:tcW w:w="2439" w:type="dxa"/>
          </w:tcPr>
          <w:p w:rsidR="007A1EF5" w:rsidRDefault="007A1EF5">
            <w:pPr>
              <w:jc w:val="both"/>
              <w:rPr>
                <w:rFonts w:ascii="Calibri" w:hAnsi="Calibri"/>
                <w:color w:val="FF0000"/>
              </w:rPr>
            </w:pPr>
            <w:r>
              <w:rPr>
                <w:rFonts w:ascii="Calibri" w:hAnsi="Calibri"/>
                <w:color w:val="FF0000"/>
                <w:sz w:val="22"/>
                <w:szCs w:val="22"/>
              </w:rPr>
              <w:t>35,5 %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Manfort-Gewerbegebiet/-Nordost (Nr. 14)</w:t>
            </w:r>
          </w:p>
        </w:tc>
        <w:tc>
          <w:tcPr>
            <w:tcW w:w="2439" w:type="dxa"/>
          </w:tcPr>
          <w:p w:rsidR="007A1EF5" w:rsidRDefault="007A1EF5">
            <w:pPr>
              <w:jc w:val="both"/>
              <w:rPr>
                <w:rFonts w:ascii="Calibri" w:hAnsi="Calibri"/>
                <w:color w:val="FF0000"/>
              </w:rPr>
            </w:pPr>
            <w:r>
              <w:rPr>
                <w:rFonts w:ascii="Calibri" w:hAnsi="Calibri"/>
                <w:color w:val="FF0000"/>
                <w:sz w:val="22"/>
                <w:szCs w:val="22"/>
              </w:rPr>
              <w:t>33,0 %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Wiesdorf-Nordwest (Nr. 1)</w:t>
            </w:r>
          </w:p>
        </w:tc>
        <w:tc>
          <w:tcPr>
            <w:tcW w:w="2439" w:type="dxa"/>
          </w:tcPr>
          <w:p w:rsidR="007A1EF5" w:rsidRDefault="007A1EF5">
            <w:pPr>
              <w:jc w:val="both"/>
              <w:rPr>
                <w:rFonts w:ascii="Calibri" w:hAnsi="Calibri"/>
                <w:color w:val="FF0000"/>
              </w:rPr>
            </w:pPr>
            <w:r>
              <w:rPr>
                <w:rFonts w:ascii="Calibri" w:hAnsi="Calibri"/>
                <w:color w:val="FF0000"/>
                <w:sz w:val="22"/>
                <w:szCs w:val="22"/>
              </w:rPr>
              <w:t>32,7 %</w:t>
            </w:r>
          </w:p>
        </w:tc>
      </w:tr>
      <w:tr w:rsidR="007A1EF5">
        <w:trPr>
          <w:trHeight w:val="397"/>
        </w:trPr>
        <w:tc>
          <w:tcPr>
            <w:tcW w:w="5143" w:type="dxa"/>
          </w:tcPr>
          <w:p w:rsidR="007A1EF5" w:rsidRDefault="007A1EF5">
            <w:pPr>
              <w:jc w:val="both"/>
              <w:rPr>
                <w:rFonts w:ascii="Calibri" w:hAnsi="Calibri"/>
              </w:rPr>
            </w:pPr>
            <w:r>
              <w:rPr>
                <w:rFonts w:ascii="Calibri" w:hAnsi="Calibri"/>
                <w:sz w:val="22"/>
                <w:szCs w:val="22"/>
              </w:rPr>
              <w:t>Aquila-Park-Siedlung/Zündhütchenweg (Nr. 38)</w:t>
            </w:r>
          </w:p>
        </w:tc>
        <w:tc>
          <w:tcPr>
            <w:tcW w:w="2439" w:type="dxa"/>
          </w:tcPr>
          <w:p w:rsidR="007A1EF5" w:rsidRDefault="007A1EF5">
            <w:pPr>
              <w:jc w:val="both"/>
              <w:rPr>
                <w:rFonts w:ascii="Calibri" w:hAnsi="Calibri"/>
                <w:color w:val="FF0000"/>
              </w:rPr>
            </w:pPr>
            <w:r>
              <w:rPr>
                <w:rFonts w:ascii="Calibri" w:hAnsi="Calibri"/>
                <w:color w:val="FF0000"/>
                <w:sz w:val="22"/>
                <w:szCs w:val="22"/>
              </w:rPr>
              <w:t>32,2 %</w:t>
            </w:r>
          </w:p>
        </w:tc>
      </w:tr>
      <w:tr w:rsidR="007A1EF5">
        <w:trPr>
          <w:trHeight w:val="397"/>
        </w:trPr>
        <w:tc>
          <w:tcPr>
            <w:tcW w:w="5143" w:type="dxa"/>
            <w:tcBorders>
              <w:bottom w:val="single" w:sz="8" w:space="0" w:color="C0504D"/>
            </w:tcBorders>
          </w:tcPr>
          <w:p w:rsidR="007A1EF5" w:rsidRDefault="007A1EF5">
            <w:pPr>
              <w:jc w:val="both"/>
              <w:rPr>
                <w:rFonts w:ascii="Calibri" w:hAnsi="Calibri"/>
              </w:rPr>
            </w:pPr>
            <w:r>
              <w:rPr>
                <w:noProof/>
              </w:rPr>
              <w:pict>
                <v:shape id="_x0000_s1064" type="#_x0000_t202" style="position:absolute;left:0;text-align:left;margin-left:151.05pt;margin-top:19.55pt;width:63pt;height:17.9pt;z-index:251672576;mso-position-horizontal-relative:text;mso-position-vertical-relative:text" filled="f" stroked="f">
                  <v:textbox style="mso-next-textbox:#_x0000_s1064">
                    <w:txbxContent>
                      <w:p w:rsidR="007A1EF5" w:rsidRPr="00931AD9" w:rsidRDefault="007A1EF5">
                        <w:pPr>
                          <w:rPr>
                            <w:sz w:val="16"/>
                            <w:szCs w:val="16"/>
                          </w:rPr>
                        </w:pPr>
                        <w:r w:rsidRPr="00931AD9">
                          <w:rPr>
                            <w:sz w:val="16"/>
                            <w:szCs w:val="16"/>
                          </w:rPr>
                          <w:t>Abbildung</w:t>
                        </w:r>
                        <w:r>
                          <w:rPr>
                            <w:sz w:val="16"/>
                            <w:szCs w:val="16"/>
                          </w:rPr>
                          <w:t xml:space="preserve"> 38</w:t>
                        </w:r>
                      </w:p>
                    </w:txbxContent>
                  </v:textbox>
                </v:shape>
              </w:pict>
            </w:r>
            <w:r>
              <w:rPr>
                <w:rFonts w:ascii="Calibri" w:hAnsi="Calibri"/>
                <w:sz w:val="22"/>
                <w:szCs w:val="22"/>
              </w:rPr>
              <w:t>Opladen-Südost (Nr. 29)</w:t>
            </w:r>
          </w:p>
        </w:tc>
        <w:tc>
          <w:tcPr>
            <w:tcW w:w="2439" w:type="dxa"/>
            <w:tcBorders>
              <w:bottom w:val="single" w:sz="8" w:space="0" w:color="C0504D"/>
            </w:tcBorders>
          </w:tcPr>
          <w:p w:rsidR="007A1EF5" w:rsidRDefault="007A1EF5">
            <w:pPr>
              <w:jc w:val="both"/>
              <w:rPr>
                <w:rFonts w:ascii="Calibri" w:hAnsi="Calibri"/>
                <w:color w:val="FF0000"/>
              </w:rPr>
            </w:pPr>
            <w:r>
              <w:rPr>
                <w:rFonts w:ascii="Calibri" w:hAnsi="Calibri"/>
                <w:color w:val="FF0000"/>
                <w:sz w:val="22"/>
                <w:szCs w:val="22"/>
              </w:rPr>
              <w:t>32,2 %</w:t>
            </w:r>
          </w:p>
        </w:tc>
      </w:tr>
      <w:bookmarkEnd w:id="61"/>
      <w:bookmarkEnd w:id="62"/>
    </w:tbl>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noProof/>
        </w:rPr>
        <w:pict>
          <v:shape id="_x0000_s1065" type="#_x0000_t202" style="position:absolute;left:0;text-align:left;margin-left:167.15pt;margin-top:183.55pt;width:63pt;height:17.9pt;z-index:251673600" filled="f" stroked="f">
            <v:textbox style="mso-next-textbox:#_x0000_s1065">
              <w:txbxContent>
                <w:p w:rsidR="007A1EF5" w:rsidRPr="00931AD9" w:rsidRDefault="007A1EF5">
                  <w:pPr>
                    <w:rPr>
                      <w:sz w:val="16"/>
                      <w:szCs w:val="16"/>
                    </w:rPr>
                  </w:pPr>
                  <w:r w:rsidRPr="00931AD9">
                    <w:rPr>
                      <w:sz w:val="16"/>
                      <w:szCs w:val="16"/>
                    </w:rPr>
                    <w:t>Abbildung</w:t>
                  </w:r>
                  <w:r>
                    <w:rPr>
                      <w:sz w:val="16"/>
                      <w:szCs w:val="16"/>
                    </w:rPr>
                    <w:t xml:space="preserve"> 39</w:t>
                  </w:r>
                </w:p>
              </w:txbxContent>
            </v:textbox>
          </v:shape>
        </w:pict>
      </w:r>
      <w:r w:rsidRPr="00DD0F19">
        <w:rPr>
          <w:rFonts w:ascii="Calibri" w:hAnsi="Calibri" w:cs="Arial"/>
          <w:noProof/>
        </w:rPr>
        <w:object w:dxaOrig="8343" w:dyaOrig="3716">
          <v:shape id="_x0000_i1060" type="#_x0000_t75" style="width:417pt;height:186pt;visibility:visible" o:ole="">
            <v:imagedata r:id="rId72" o:title="" cropbottom="-53f"/>
            <o:lock v:ext="edit" aspectratio="f"/>
          </v:shape>
          <o:OLEObject Type="Embed" ProgID="Excel.Chart.8" ShapeID="_x0000_i1060" DrawAspect="Content" ObjectID="_1330351659" r:id="rId73"/>
        </w:objec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cs="Arial"/>
        </w:rPr>
      </w:pPr>
      <w:r>
        <w:rPr>
          <w:rFonts w:ascii="Calibri" w:hAnsi="Calibri" w:cs="Arial"/>
        </w:rPr>
        <w:t>Die Abweichungen bei der Altersstruktur fallen sowohl bei der jungen als auch bei der älteren Bevölkerung auf. Für die Sozialberichterstattung ist jedoch die Beobachtung der jungen Bevölkerung besonders von Bedeutung, da hier ein statistischer Zusammenhang mit Kinderarmut unterstellt wird: Wo überdurchschnittlich viele SGB II-Leistungsempfänger leben, leben demzufolge besonders viele Kinder. In Leverkusen beträgt zum Stichtag 31.12.2007 der Bevölkerungsanteil bei den unter 18-Jährigen 17,1 Prozent. Und tatsächlich gehören der Wohnpark Steinbüchel und Teile von Wiesdorf zu den jüngsten Stadtgebieten mit überdurchschnittlich starken Abweichungen (um 10 Prozentpunkte). Besonders stark weicht jedoch aufgrund der für Familien attraktiven Bautätigkeit das Wohngebiet Meckhofen vom gesamtstädtischen Durchschnittswert ab, um mehr als 15 Prozentpunkte. Das Wohngebiet Mathildenhof dagegen verfügt über einen unterdurchschnittlichen Anteil junger Menschen.</w:t>
      </w:r>
    </w:p>
    <w:p w:rsidR="007A1EF5" w:rsidRDefault="007A1EF5">
      <w:pPr>
        <w:rPr>
          <w:rFonts w:ascii="Calibri" w:hAnsi="Calibri" w:cs="Arial"/>
        </w:rPr>
      </w:pPr>
    </w:p>
    <w:p w:rsidR="007A1EF5" w:rsidRPr="00FF09C0" w:rsidRDefault="007A1EF5">
      <w:pPr>
        <w:pBdr>
          <w:bottom w:val="single" w:sz="4" w:space="1" w:color="auto"/>
        </w:pBdr>
        <w:spacing w:line="360" w:lineRule="auto"/>
        <w:jc w:val="both"/>
        <w:rPr>
          <w:rFonts w:ascii="Calibri" w:hAnsi="Calibri" w:cs="Arial"/>
          <w:b/>
        </w:rPr>
      </w:pPr>
      <w:r w:rsidRPr="00FF09C0">
        <w:rPr>
          <w:rFonts w:ascii="Calibri" w:hAnsi="Calibri" w:cs="Arial"/>
          <w:b/>
        </w:rPr>
        <w:t>(2) Ökonomische Faktoren im Vergleich: Einkommen, Sozialleistungen und Arbeit</w:t>
      </w:r>
    </w:p>
    <w:p w:rsidR="007A1EF5" w:rsidRDefault="007A1EF5">
      <w:pPr>
        <w:spacing w:line="360" w:lineRule="auto"/>
        <w:outlineLvl w:val="1"/>
        <w:rPr>
          <w:rFonts w:ascii="Calibri" w:hAnsi="Calibri" w:cs="Arial"/>
        </w:rPr>
      </w:pPr>
    </w:p>
    <w:p w:rsidR="007A1EF5" w:rsidRDefault="007A1EF5">
      <w:pPr>
        <w:pStyle w:val="ListParagraph"/>
        <w:numPr>
          <w:ilvl w:val="0"/>
          <w:numId w:val="45"/>
          <w:numberingChange w:id="63" w:author="STV-50-VOGT" w:date="2010-03-17T17:16:00Z" w:original=""/>
        </w:numPr>
        <w:spacing w:line="360" w:lineRule="auto"/>
        <w:jc w:val="both"/>
        <w:outlineLvl w:val="1"/>
        <w:rPr>
          <w:rFonts w:ascii="Calibri" w:hAnsi="Calibri" w:cs="Arial"/>
        </w:rPr>
      </w:pPr>
      <w:r>
        <w:rPr>
          <w:rFonts w:ascii="Calibri" w:hAnsi="Calibri" w:cs="Arial"/>
        </w:rPr>
        <w:t>Einkommensverteilung</w:t>
      </w:r>
    </w:p>
    <w:p w:rsidR="007A1EF5" w:rsidRDefault="007A1EF5">
      <w:pPr>
        <w:spacing w:line="360" w:lineRule="auto"/>
        <w:jc w:val="both"/>
        <w:outlineLvl w:val="1"/>
        <w:rPr>
          <w:rFonts w:ascii="Calibri" w:hAnsi="Calibri" w:cs="Arial"/>
        </w:rPr>
      </w:pPr>
      <w:r>
        <w:rPr>
          <w:rFonts w:ascii="Calibri" w:hAnsi="Calibri" w:cs="Arial"/>
        </w:rPr>
        <w:t>Die Einkommensungleichheit in Leverkusen ist räumlich stark ausgeprägt. Bricht man das Einkommen rechnerisch auf die Einwohnerzahl herunter, so wurden stark unterdurchschnittliche Einkommen in Rheindorf, Alkenrath und Manfort erzielt. In Manfort ist zugleich auch der niedrigste Anteil an Steuerpflichtigen mit Einkünften ab 50.000 Euro gemessen worden. Auch die Steuerquote fällt in den drei genannten Stadtteilen am geringsten aus. In Opladen, Quettingen, Küppersteg und Bürrig sowie in Wiesdorf-West und Wiesdorf-Ost wurden unterdurchschnittliche Einkommen gemessen. Im Hinblick auf die Einkommens- und Versorgungsstruktur der Privathaushalte ist auch von Relevanz, wie viele Haushalte über zwei Einkommensbezieher verfügen. Der Anteil der „Doppelverdiener“ an allen Haushalten ist in den statistischen Bezirken Wiesdorf-West, Wiesdorf-Ost und Alkenrath am niedrigsten.</w:t>
      </w:r>
    </w:p>
    <w:p w:rsidR="007A1EF5" w:rsidRDefault="007A1EF5">
      <w:pPr>
        <w:spacing w:line="360" w:lineRule="auto"/>
        <w:jc w:val="both"/>
        <w:outlineLvl w:val="1"/>
        <w:rPr>
          <w:rFonts w:ascii="Calibri" w:hAnsi="Calibri" w:cs="Arial"/>
        </w:rPr>
      </w:pPr>
      <w:r>
        <w:rPr>
          <w:noProof/>
        </w:rPr>
        <w:pict>
          <v:shape id="_x0000_s1066" type="#_x0000_t202" style="position:absolute;left:0;text-align:left;margin-left:329.15pt;margin-top:163pt;width:63pt;height:17.9pt;z-index:251674624" filled="f" stroked="f">
            <v:textbox style="mso-next-textbox:#_x0000_s1066">
              <w:txbxContent>
                <w:p w:rsidR="007A1EF5" w:rsidRPr="00931AD9" w:rsidRDefault="007A1EF5">
                  <w:pPr>
                    <w:rPr>
                      <w:sz w:val="16"/>
                      <w:szCs w:val="16"/>
                    </w:rPr>
                  </w:pPr>
                  <w:r w:rsidRPr="00931AD9">
                    <w:rPr>
                      <w:sz w:val="16"/>
                      <w:szCs w:val="16"/>
                    </w:rPr>
                    <w:t>Abbildung</w:t>
                  </w:r>
                  <w:r>
                    <w:rPr>
                      <w:sz w:val="16"/>
                      <w:szCs w:val="16"/>
                    </w:rPr>
                    <w:t xml:space="preserve"> 40</w:t>
                  </w:r>
                </w:p>
              </w:txbxContent>
            </v:textbox>
          </v:shape>
        </w:pict>
      </w:r>
      <w:r w:rsidRPr="00EE6920">
        <w:rPr>
          <w:rFonts w:ascii="Calibri" w:hAnsi="Calibri" w:cs="Arial"/>
          <w:noProof/>
        </w:rPr>
        <w:pict>
          <v:shape id="_x0000_i1061" type="#_x0000_t75" style="width:324pt;height:267pt;visibility:visible">
            <v:imagedata r:id="rId74" o:title=""/>
          </v:shape>
        </w:pict>
      </w:r>
    </w:p>
    <w:p w:rsidR="007A1EF5" w:rsidRDefault="007A1EF5">
      <w:pPr>
        <w:spacing w:line="360" w:lineRule="auto"/>
        <w:jc w:val="both"/>
        <w:outlineLvl w:val="1"/>
        <w:rPr>
          <w:rFonts w:ascii="Calibri" w:hAnsi="Calibri" w:cs="Arial"/>
        </w:rPr>
      </w:pPr>
    </w:p>
    <w:p w:rsidR="007A1EF5" w:rsidRDefault="007A1EF5">
      <w:pPr>
        <w:pStyle w:val="ListParagraph"/>
        <w:numPr>
          <w:ilvl w:val="0"/>
          <w:numId w:val="45"/>
          <w:numberingChange w:id="64" w:author="STV-50-VOGT" w:date="2010-03-17T17:16:00Z" w:original=""/>
        </w:numPr>
        <w:spacing w:line="360" w:lineRule="auto"/>
        <w:jc w:val="both"/>
        <w:outlineLvl w:val="1"/>
        <w:rPr>
          <w:rFonts w:ascii="Calibri" w:hAnsi="Calibri" w:cs="Arial"/>
        </w:rPr>
      </w:pPr>
      <w:r>
        <w:rPr>
          <w:rFonts w:ascii="Calibri" w:hAnsi="Calibri" w:cs="Arial"/>
        </w:rPr>
        <w:t>Einkommensersatzleistungen</w:t>
      </w:r>
    </w:p>
    <w:p w:rsidR="007A1EF5" w:rsidRDefault="007A1EF5">
      <w:pPr>
        <w:spacing w:line="360" w:lineRule="auto"/>
        <w:jc w:val="both"/>
        <w:outlineLvl w:val="1"/>
        <w:rPr>
          <w:rFonts w:ascii="Calibri" w:hAnsi="Calibri" w:cs="Arial"/>
        </w:rPr>
      </w:pPr>
      <w:r>
        <w:rPr>
          <w:rFonts w:ascii="Calibri" w:hAnsi="Calibri" w:cs="Arial"/>
        </w:rPr>
        <w:t>Beim Anteil der SGB II-Leistungsempfänger an der Gesamtbevölkerung bzw. Bedarfsgemeinschaften an allen Privathaushalten fällt auf, dass es deutliche statistische Unterschiede zwischen den Stadtteilen und Wohngebieten in zentraler Lage und jenen am Standrand gibt. In absoluten Zahlen leben zum Stichtag 31.12.2007 die meisten Leistungsempfänger in Opladen (2.149 Personen). Hier gibt es auch die meisten Bedarfsgemeinschaften (1.226 Haushalte). Stark überdurchschnittliche bis überdurchschnittliche Abweichungen gibt es darüber in hinaus in den Wohngebieten in zentraler Lage sowie in Einzellagen der städtischen Randgebiete, insbesondere im Wohnpark Steinbüchel. Im Vergleich dazu leben in Bergisch Neukirchen und in Schlebusch die wenigsten SGB II-Leistungsempfänger.</w:t>
      </w:r>
    </w:p>
    <w:p w:rsidR="007A1EF5" w:rsidRDefault="007A1EF5">
      <w:pPr>
        <w:spacing w:line="360" w:lineRule="auto"/>
        <w:jc w:val="both"/>
        <w:outlineLvl w:val="1"/>
        <w:rPr>
          <w:rFonts w:ascii="Calibri" w:hAnsi="Calibri" w:cs="Arial"/>
        </w:rPr>
      </w:pPr>
      <w:r>
        <w:rPr>
          <w:noProof/>
        </w:rPr>
        <w:pict>
          <v:shape id="_x0000_s1067" type="#_x0000_t202" style="position:absolute;left:0;text-align:left;margin-left:347.15pt;margin-top:120.25pt;width:63pt;height:17.9pt;z-index:251675648" filled="f" stroked="f">
            <v:textbox style="mso-next-textbox:#_x0000_s1067">
              <w:txbxContent>
                <w:p w:rsidR="007A1EF5" w:rsidRPr="00931AD9" w:rsidRDefault="007A1EF5">
                  <w:pPr>
                    <w:rPr>
                      <w:sz w:val="16"/>
                      <w:szCs w:val="16"/>
                    </w:rPr>
                  </w:pPr>
                  <w:r w:rsidRPr="00931AD9">
                    <w:rPr>
                      <w:sz w:val="16"/>
                      <w:szCs w:val="16"/>
                    </w:rPr>
                    <w:t>Abbildung</w:t>
                  </w:r>
                  <w:r>
                    <w:rPr>
                      <w:sz w:val="16"/>
                      <w:szCs w:val="16"/>
                    </w:rPr>
                    <w:t xml:space="preserve"> 41</w:t>
                  </w:r>
                </w:p>
              </w:txbxContent>
            </v:textbox>
          </v:shape>
        </w:pict>
      </w:r>
      <w:r w:rsidRPr="00EE6920">
        <w:rPr>
          <w:rFonts w:ascii="Calibri" w:hAnsi="Calibri" w:cs="Arial"/>
          <w:noProof/>
        </w:rPr>
        <w:pict>
          <v:shape id="Bild 4" o:spid="_x0000_i1062" type="#_x0000_t75" style="width:343.5pt;height:271.5pt;visibility:visible" o:bordertopcolor="black" o:borderleftcolor="black" o:borderbottomcolor="black" o:borderrightcolor="black">
            <v:imagedata r:id="rId75" o:title=""/>
            <w10:bordertop type="single" width="2"/>
            <w10:borderleft type="single" width="2"/>
            <w10:borderbottom type="single" width="2"/>
            <w10:borderright type="single" width="2"/>
          </v:shape>
        </w:pict>
      </w:r>
    </w:p>
    <w:p w:rsidR="007A1EF5" w:rsidRDefault="007A1EF5">
      <w:pPr>
        <w:spacing w:line="360" w:lineRule="auto"/>
        <w:jc w:val="both"/>
        <w:outlineLvl w:val="1"/>
        <w:rPr>
          <w:rFonts w:ascii="Calibri" w:hAnsi="Calibri" w:cs="Arial"/>
        </w:rPr>
      </w:pPr>
      <w:r>
        <w:rPr>
          <w:noProof/>
        </w:rPr>
        <w:pict>
          <v:shape id="_x0000_s1068" type="#_x0000_t202" style="position:absolute;left:0;text-align:left;margin-left:410.15pt;margin-top:75.15pt;width:63pt;height:17.9pt;z-index:251676672" filled="f" stroked="f">
            <v:textbox style="mso-next-textbox:#_x0000_s1068">
              <w:txbxContent>
                <w:p w:rsidR="007A1EF5" w:rsidRPr="00931AD9" w:rsidRDefault="007A1EF5">
                  <w:pPr>
                    <w:rPr>
                      <w:sz w:val="16"/>
                      <w:szCs w:val="16"/>
                    </w:rPr>
                  </w:pPr>
                  <w:r w:rsidRPr="00931AD9">
                    <w:rPr>
                      <w:sz w:val="16"/>
                      <w:szCs w:val="16"/>
                    </w:rPr>
                    <w:t>Abbildung</w:t>
                  </w:r>
                  <w:r>
                    <w:rPr>
                      <w:sz w:val="16"/>
                      <w:szCs w:val="16"/>
                    </w:rPr>
                    <w:t xml:space="preserve"> 42</w:t>
                  </w:r>
                </w:p>
              </w:txbxContent>
            </v:textbox>
          </v:shape>
        </w:pict>
      </w:r>
      <w:r w:rsidRPr="00DD0F19">
        <w:rPr>
          <w:rFonts w:ascii="Calibri" w:hAnsi="Calibri" w:cs="Arial"/>
          <w:noProof/>
        </w:rPr>
        <w:object w:dxaOrig="8257" w:dyaOrig="3524">
          <v:shape id="Objekt 17" o:spid="_x0000_i1063" type="#_x0000_t75" style="width:408.75pt;height:176.25pt;visibility:visible" o:ole="">
            <v:imagedata r:id="rId76" o:title=""/>
            <o:lock v:ext="edit" aspectratio="f"/>
          </v:shape>
          <o:OLEObject Type="Embed" ProgID="Excel.Chart.8" ShapeID="Objekt 17" DrawAspect="Content" ObjectID="_1330351660" r:id="rId77"/>
        </w:object>
      </w:r>
    </w:p>
    <w:p w:rsidR="007A1EF5" w:rsidRDefault="007A1EF5">
      <w:pPr>
        <w:spacing w:line="360" w:lineRule="auto"/>
        <w:jc w:val="both"/>
        <w:outlineLvl w:val="1"/>
        <w:rPr>
          <w:rFonts w:ascii="Calibri" w:hAnsi="Calibri" w:cs="Arial"/>
        </w:rPr>
      </w:pPr>
      <w:r>
        <w:rPr>
          <w:rFonts w:ascii="Calibri" w:hAnsi="Calibri" w:cs="Arial"/>
        </w:rPr>
        <w:t>Immerhin jede sechste Bedarfsgemeinschaft in Opladen weist den Haushaltstyp „alleinerziehender Elternteil“ auf. In absoluten Zahlen besonders viele Alleinerziehende im SGB II gibt es in Rheindorf, wo 209 Haushalte darunter fallen. Das ist mehr als jede fünfte aller Bedarfsgemeinschaften.</w:t>
      </w:r>
    </w:p>
    <w:p w:rsidR="007A1EF5" w:rsidRDefault="007A1EF5">
      <w:pPr>
        <w:spacing w:line="360" w:lineRule="auto"/>
        <w:jc w:val="both"/>
        <w:outlineLvl w:val="1"/>
        <w:rPr>
          <w:rFonts w:ascii="Calibri" w:hAnsi="Calibri" w:cs="Arial"/>
        </w:rPr>
      </w:pPr>
      <w:r>
        <w:rPr>
          <w:noProof/>
        </w:rPr>
        <w:pict>
          <v:shape id="Bild 4" o:spid="_x0000_s1069" type="#_x0000_t75" style="position:absolute;left:0;text-align:left;margin-left:23.15pt;margin-top:1.85pt;width:399.75pt;height:194.25pt;z-index:251632640;visibility:visible">
            <v:imagedata r:id="rId78" o:title=""/>
          </v:shape>
        </w:pic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noProof/>
        </w:rPr>
        <w:pict>
          <v:shape id="_x0000_s1070" type="#_x0000_t202" style="position:absolute;left:0;text-align:left;margin-left:203.15pt;margin-top:15.05pt;width:63pt;height:17.9pt;z-index:251677696" filled="f" stroked="f">
            <v:textbox style="mso-next-textbox:#_x0000_s1070">
              <w:txbxContent>
                <w:p w:rsidR="007A1EF5" w:rsidRPr="00931AD9" w:rsidRDefault="007A1EF5">
                  <w:pPr>
                    <w:rPr>
                      <w:sz w:val="16"/>
                      <w:szCs w:val="16"/>
                    </w:rPr>
                  </w:pPr>
                  <w:r w:rsidRPr="00931AD9">
                    <w:rPr>
                      <w:sz w:val="16"/>
                      <w:szCs w:val="16"/>
                    </w:rPr>
                    <w:t>Abbildung</w:t>
                  </w:r>
                  <w:r>
                    <w:rPr>
                      <w:sz w:val="16"/>
                      <w:szCs w:val="16"/>
                    </w:rPr>
                    <w:t xml:space="preserve"> 43</w:t>
                  </w:r>
                </w:p>
              </w:txbxContent>
            </v:textbox>
          </v:shape>
        </w:pic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Insgesamt lebten am 31.12.2007 von 22.632 Kindern unter 15 Jahren 4.255 von Sozialgeld. Immerhin bei 18,8 Prozent aller Leverkusener Kinder der altersgleichen Gruppe konnte der Lebensunterhalt nur aufgrund von öffentlichen Unterstützungsleistungen sichergestellt werden. Beim Anteil der Kinder, die auf „Hartz IV“-Sozialgeld angewiesen sind, wird deutlich, dass ihr Anteil an allen Kindern in den Stadtteilen Manfort, Alkenrath und Rheindorf besonders groß ist. Bei den Wohngebieten weist Rheindorf-Nord einen Anteil von 38,7 Prozent auf. Unter den statistischen Quartieren, also auf der kleinsten aggregierten Ebene, liegt der Negativrekord im Wohnpark Steinbüchel, wo 68,4 Prozent aller Kinder von SGB II-Leistungen leben. Höhere Durchschnittswerte gibt es außerdem in Opladen und Quettingen.</w:t>
      </w:r>
    </w:p>
    <w:p w:rsidR="007A1EF5" w:rsidRDefault="007A1EF5">
      <w:pPr>
        <w:spacing w:line="360" w:lineRule="auto"/>
        <w:jc w:val="both"/>
        <w:outlineLvl w:val="1"/>
        <w:rPr>
          <w:rFonts w:ascii="Calibri" w:hAnsi="Calibri" w:cs="Arial"/>
          <w:noProof/>
        </w:rPr>
      </w:pPr>
      <w:r w:rsidRPr="00EE6920">
        <w:rPr>
          <w:rFonts w:ascii="Calibri" w:hAnsi="Calibri" w:cs="Arial"/>
          <w:noProof/>
        </w:rPr>
        <w:pict>
          <v:shape id="Bild 5" o:spid="_x0000_i1064" type="#_x0000_t75" style="width:312.75pt;height:220.5pt;visibility:visible" o:bordertopcolor="black" o:borderleftcolor="black" o:borderbottomcolor="black" o:borderrightcolor="black">
            <v:imagedata r:id="rId79" o:title=""/>
            <w10:bordertop type="single" width="2"/>
            <w10:borderleft type="single" width="2"/>
            <w10:borderbottom type="single" width="2"/>
            <w10:borderright type="single" width="2"/>
          </v:shape>
        </w:pict>
      </w:r>
    </w:p>
    <w:p w:rsidR="007A1EF5" w:rsidRDefault="007A1EF5">
      <w:pPr>
        <w:spacing w:line="360" w:lineRule="auto"/>
        <w:jc w:val="both"/>
        <w:outlineLvl w:val="1"/>
        <w:rPr>
          <w:rFonts w:ascii="Calibri" w:hAnsi="Calibri" w:cs="Arial"/>
          <w:noProof/>
        </w:rPr>
      </w:pPr>
      <w:r>
        <w:rPr>
          <w:noProof/>
        </w:rPr>
        <w:pict>
          <v:shape id="_x0000_s1071" type="#_x0000_t202" style="position:absolute;left:0;text-align:left;margin-left:131.15pt;margin-top:.1pt;width:63pt;height:17.9pt;z-index:251678720" filled="f" stroked="f">
            <v:textbox style="mso-next-textbox:#_x0000_s1071">
              <w:txbxContent>
                <w:p w:rsidR="007A1EF5" w:rsidRPr="00931AD9" w:rsidRDefault="007A1EF5">
                  <w:pPr>
                    <w:rPr>
                      <w:sz w:val="16"/>
                      <w:szCs w:val="16"/>
                    </w:rPr>
                  </w:pPr>
                  <w:r w:rsidRPr="00931AD9">
                    <w:rPr>
                      <w:sz w:val="16"/>
                      <w:szCs w:val="16"/>
                    </w:rPr>
                    <w:t>Abbildung</w:t>
                  </w:r>
                  <w:r>
                    <w:rPr>
                      <w:sz w:val="16"/>
                      <w:szCs w:val="16"/>
                    </w:rPr>
                    <w:t xml:space="preserve"> 44</w:t>
                  </w:r>
                </w:p>
              </w:txbxContent>
            </v:textbox>
          </v:shape>
        </w:pic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Im Leistungsbereich SGB XII ist bei der Grundsicherung im Alter die räumlich stärkste Abweichungen in Manfort mit 6,7 Prozent festzustellen. Überdurchschnittliche Ergebnisse weisen außerdem der Stadtteil Quettingen (4,2 Prozent) sowie das statistische Quartier Wiesdorf-West (4,5 Prozent) auf. In absoluten Zahlen leben die meisten Leistungsempfänger in Opladen und Rheindorf. Altersarmut ist statistisch gesehen insbesondere in Alkenrath kein Thema, wo bei einem hohen Anteil von Menschen über 65 Jahre an der Gesamtbevölkerung nur 1,5 Prozent Grundsicherung bezogen.</w:t>
      </w:r>
    </w:p>
    <w:p w:rsidR="007A1EF5" w:rsidRDefault="007A1EF5">
      <w:pPr>
        <w:spacing w:line="360" w:lineRule="auto"/>
        <w:jc w:val="both"/>
        <w:outlineLvl w:val="1"/>
        <w:rPr>
          <w:rFonts w:ascii="Calibri" w:hAnsi="Calibri" w:cs="Arial"/>
        </w:rPr>
      </w:pPr>
    </w:p>
    <w:p w:rsidR="007A1EF5" w:rsidRDefault="007A1EF5">
      <w:pPr>
        <w:pStyle w:val="ListParagraph"/>
        <w:numPr>
          <w:ilvl w:val="0"/>
          <w:numId w:val="45"/>
          <w:numberingChange w:id="65" w:author="STV-50-VOGT" w:date="2010-03-17T17:16:00Z" w:original=""/>
        </w:numPr>
        <w:spacing w:line="360" w:lineRule="auto"/>
        <w:jc w:val="both"/>
        <w:outlineLvl w:val="1"/>
        <w:rPr>
          <w:rFonts w:ascii="Calibri" w:hAnsi="Calibri" w:cs="Arial"/>
        </w:rPr>
      </w:pPr>
      <w:r>
        <w:rPr>
          <w:rFonts w:ascii="Calibri" w:hAnsi="Calibri" w:cs="Arial"/>
        </w:rPr>
        <w:t>Arbeitslosigkeit</w:t>
      </w:r>
    </w:p>
    <w:p w:rsidR="007A1EF5" w:rsidRDefault="007A1EF5">
      <w:pPr>
        <w:spacing w:line="360" w:lineRule="auto"/>
        <w:jc w:val="both"/>
        <w:outlineLvl w:val="1"/>
        <w:rPr>
          <w:rFonts w:ascii="Calibri" w:hAnsi="Calibri" w:cs="Arial"/>
        </w:rPr>
      </w:pPr>
      <w:r>
        <w:rPr>
          <w:rFonts w:ascii="Calibri" w:hAnsi="Calibri" w:cs="Arial"/>
        </w:rPr>
        <w:t>Auch die Arbeitslosenquote fällt in den einzelnen Stadtgebieten Leverkusens unterschiedlich aus. Besonders stark ist sie im Wohnpark Steinbüchel und liegt dort bei über 22 Prozent aller abhängig Beschäftigten. Auch in allen anderen der bereits genannten strukturell eher benachteiligen Räume lässt sich eine überdurchschnittliche Arbeitslosigkeit messen.</w:t>
      </w:r>
    </w:p>
    <w:p w:rsidR="007A1EF5" w:rsidRPr="00FF09C0" w:rsidRDefault="007A1EF5">
      <w:pPr>
        <w:spacing w:line="360" w:lineRule="auto"/>
        <w:jc w:val="both"/>
        <w:outlineLvl w:val="1"/>
        <w:rPr>
          <w:rFonts w:ascii="Calibri" w:hAnsi="Calibri" w:cs="Arial"/>
          <w:b/>
        </w:rPr>
      </w:pPr>
      <w:r>
        <w:rPr>
          <w:noProof/>
        </w:rPr>
        <w:pict>
          <v:shape id="_x0000_s1072" type="#_x0000_t202" style="position:absolute;left:0;text-align:left;margin-left:446.15pt;margin-top:-115.2pt;width:63pt;height:17.9pt;z-index:251679744" filled="f" stroked="f">
            <v:textbox style="mso-next-textbox:#_x0000_s1072">
              <w:txbxContent>
                <w:p w:rsidR="007A1EF5" w:rsidRPr="00931AD9" w:rsidRDefault="007A1EF5">
                  <w:pPr>
                    <w:rPr>
                      <w:sz w:val="16"/>
                      <w:szCs w:val="16"/>
                    </w:rPr>
                  </w:pPr>
                  <w:r w:rsidRPr="00931AD9">
                    <w:rPr>
                      <w:sz w:val="16"/>
                      <w:szCs w:val="16"/>
                    </w:rPr>
                    <w:t>Abbildung</w:t>
                  </w:r>
                  <w:r>
                    <w:rPr>
                      <w:sz w:val="16"/>
                      <w:szCs w:val="16"/>
                    </w:rPr>
                    <w:t xml:space="preserve"> 45</w:t>
                  </w:r>
                </w:p>
              </w:txbxContent>
            </v:textbox>
          </v:shape>
        </w:pict>
      </w:r>
      <w:r>
        <w:rPr>
          <w:noProof/>
        </w:rPr>
        <w:pict>
          <v:shape id="Bild 6" o:spid="_x0000_s1073" type="#_x0000_t75" style="position:absolute;left:0;text-align:left;margin-left:-1.8pt;margin-top:-24.65pt;width:437.5pt;height:200.5pt;z-index:-251682816;visibility:visible" wrapcoords="-37 -81 -37 21600 21637 21600 21637 -81 -37 -81" stroked="t" strokecolor="windowText" strokeweight=".25pt">
            <v:imagedata r:id="rId80" o:title=""/>
            <w10:wrap type="tight"/>
          </v:shape>
        </w:pict>
      </w:r>
      <w:r w:rsidRPr="00FF09C0">
        <w:rPr>
          <w:rFonts w:ascii="Calibri" w:hAnsi="Calibri" w:cs="Arial"/>
          <w:b/>
        </w:rPr>
        <w:t>(3) Zusammenhänge zwischen den Merkmalen und mit weiteren Handlungsfeldern</w:t>
      </w:r>
    </w:p>
    <w:p w:rsidR="007A1EF5" w:rsidRDefault="007A1EF5">
      <w:pPr>
        <w:spacing w:line="360" w:lineRule="auto"/>
        <w:jc w:val="both"/>
        <w:rPr>
          <w:rFonts w:ascii="Calibri" w:hAnsi="Calibri" w:cs="Arial"/>
        </w:rPr>
      </w:pPr>
    </w:p>
    <w:p w:rsidR="007A1EF5" w:rsidRDefault="007A1EF5">
      <w:pPr>
        <w:spacing w:line="360" w:lineRule="auto"/>
        <w:jc w:val="both"/>
        <w:rPr>
          <w:rFonts w:ascii="Calibri" w:hAnsi="Calibri"/>
        </w:rPr>
      </w:pPr>
      <w:r>
        <w:rPr>
          <w:rFonts w:ascii="Calibri" w:hAnsi="Calibri"/>
        </w:rPr>
        <w:t>Die Betrachtung der Zusammenhänge bei den einzelnen Merkmalen bringt hervor, dass die Zahl der SGB II-Bedarfsgemeinschaften und Leistungsempfänger in Leverkusen verhältnismäßig gering, dagegen in der Stadt ein hohes Maß an sozialer Ungleichheit nachzuweisen ist. Für die Ursachenforschung von Bedeutung ist, dass Leverkusen einerseits eine Wohnstadt im Grünen zwischen dem Rhein und dem Bergischen Land ist mit einer hervorragenden Verkehrsanbindung nach Köln und ins Ballungsgebiet Rhein/Ruhr. Andererseits ist Leverkusen eine Arbeiterstadt, die die Folgen des Strukturwandels zu schultern hat. Die soziale Differenzierung stellt zugleich auch eine Chance dar, beruflich und sozial benachteiligte Personen wieder in die kommunale Gesellschaft besser einzugliedern.</w:t>
      </w:r>
    </w:p>
    <w:p w:rsidR="007A1EF5" w:rsidRDefault="007A1EF5">
      <w:pPr>
        <w:spacing w:line="360" w:lineRule="auto"/>
        <w:jc w:val="both"/>
        <w:rPr>
          <w:rFonts w:ascii="Calibri" w:hAnsi="Calibri" w:cs="Arial"/>
        </w:rPr>
      </w:pPr>
      <w:r>
        <w:rPr>
          <w:rFonts w:ascii="Calibri" w:hAnsi="Calibri"/>
        </w:rPr>
        <w:t>Der Wohnpark Steinbüchel fällt unter allen Wohngebieten gegenüber den städtischen Mittelwerten besonders durch stark überdurchschnittliche Abweichungen auf. Selbst wenn man die geringe Einwohnerzahl des Wohngebiets (784 Personen) dazu ins Verhältnis setzt, wird der Handlungsbedarf in diesem Lebensraum deutlich. Wie auch bei anderen Wohngebieten ergeben sich deutliche Zusammenhänge bei den demografischen und sozio-ökonomischen Merkmalen.</w:t>
      </w:r>
    </w:p>
    <w:p w:rsidR="007A1EF5" w:rsidRDefault="007A1EF5">
      <w:pPr>
        <w:spacing w:line="360" w:lineRule="auto"/>
        <w:jc w:val="both"/>
        <w:outlineLvl w:val="1"/>
        <w:rPr>
          <w:rFonts w:ascii="Calibri" w:hAnsi="Calibri" w:cs="Arial"/>
        </w:rPr>
      </w:pPr>
      <w:r>
        <w:rPr>
          <w:rFonts w:ascii="Calibri" w:hAnsi="Calibri" w:cs="Arial"/>
        </w:rPr>
        <w:t>Ein Indiz dafür, dass die ökonomische Versorgungssituation in einigen Stadtteilen auch mit der Altersstruktur einher geht, zeigt sich in Alkenrath, wo über 10,6 Prozent aller Einkommen aus Rentenversorgungsleistungen erzielt werden.</w:t>
      </w:r>
    </w:p>
    <w:p w:rsidR="007A1EF5" w:rsidRDefault="007A1EF5">
      <w:pPr>
        <w:spacing w:line="360" w:lineRule="auto"/>
        <w:jc w:val="both"/>
        <w:outlineLvl w:val="0"/>
        <w:rPr>
          <w:rFonts w:ascii="Calibri" w:hAnsi="Calibri" w:cs="Arial"/>
        </w:rPr>
      </w:pPr>
      <w:r>
        <w:rPr>
          <w:rFonts w:ascii="Calibri" w:hAnsi="Calibri" w:cs="Arial"/>
        </w:rPr>
        <w:t>Stadtteilbezogen lassen sich auch bei Betrachtung der politischen Beteiligungsbereitschaft deutliche räumliche Unterschiede feststellen. Bei der Kommunalwahl 2004 wählten in Wiesdorf-West 39,1 Prozent und in Manfort 39,9 Prozent der wahlberechtigten Bevölkerung. Diese beiden Stadtteile weisen somit bereits im Jahr 2004 die niedrigste Wahlbeteiligung an der Kommunalwahl auf. In Bergisch Neukirchen beteiligten sich zum Vergleich 61,9 Prozent der Wahlberechtigten an der Abstimmung. Bei der Kommunalwahl 2009 hat sich der Trend in den Wahlbezirken verfestigt. So weisen Quettingen-West und Manfort mit etwa 36 Prozent und etwa 37 Prozent die niedrigste Wahlbeteiligung. Dagegen beträgt Wahlbeteiligung in der Waldsiedlung etwa 62 Prozent. Ein ähnliches Verhältnis lässt sich in Bezug auf die strukturell eher benachteiligten Stadtteile und Wohngebiete auch bei Bundestagswahlen ablesen. So beteiligten sich in der Waldsiedlung abermals deutlich mehr Abstimmungsberechtigte als etwa in Rheindorf. In strukturell eher benachteiligten Stadtteilen und Wohngebieten liegt die Wahlbeteiligung häufig mehr als 10 Prozentpunkte unter dem gesamtstädtischen Durchschnittswert.</w:t>
      </w: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r>
        <w:rPr>
          <w:noProof/>
        </w:rPr>
        <w:pict>
          <v:shape id="_x0000_s1074" type="#_x0000_t202" style="position:absolute;margin-left:140.15pt;margin-top:132.65pt;width:63pt;height:17.9pt;z-index:251680768" filled="f" stroked="f">
            <v:textbox style="mso-next-textbox:#_x0000_s1074">
              <w:txbxContent>
                <w:p w:rsidR="007A1EF5" w:rsidRPr="00931AD9" w:rsidRDefault="007A1EF5">
                  <w:pPr>
                    <w:rPr>
                      <w:sz w:val="16"/>
                      <w:szCs w:val="16"/>
                    </w:rPr>
                  </w:pPr>
                  <w:r w:rsidRPr="00931AD9">
                    <w:rPr>
                      <w:sz w:val="16"/>
                      <w:szCs w:val="16"/>
                    </w:rPr>
                    <w:t>Abbildung</w:t>
                  </w:r>
                  <w:r>
                    <w:rPr>
                      <w:sz w:val="16"/>
                      <w:szCs w:val="16"/>
                    </w:rPr>
                    <w:t xml:space="preserve"> 46</w:t>
                  </w:r>
                </w:p>
              </w:txbxContent>
            </v:textbox>
          </v:shape>
        </w:pict>
      </w:r>
      <w:r w:rsidRPr="00DD0F19">
        <w:rPr>
          <w:rFonts w:ascii="Calibri" w:hAnsi="Calibri" w:cs="Arial"/>
          <w:noProof/>
        </w:rPr>
        <w:object w:dxaOrig="7249" w:dyaOrig="2679">
          <v:shape id="Objekt 25" o:spid="_x0000_i1065" type="#_x0000_t75" style="width:355.5pt;height:134.25pt;visibility:visible" o:ole="">
            <v:imagedata r:id="rId81" o:title=""/>
            <o:lock v:ext="edit" aspectratio="f"/>
          </v:shape>
          <o:OLEObject Type="Embed" ProgID="Excel.Chart.8" ShapeID="Objekt 25" DrawAspect="Content" ObjectID="_1330351661" r:id="rId82"/>
        </w:object>
      </w:r>
    </w:p>
    <w:p w:rsidR="007A1EF5" w:rsidRDefault="007A1EF5">
      <w:pPr>
        <w:spacing w:line="360" w:lineRule="auto"/>
        <w:rPr>
          <w:rFonts w:ascii="Calibri" w:hAnsi="Calibri" w:cs="Arial"/>
        </w:rPr>
      </w:pPr>
    </w:p>
    <w:p w:rsidR="007A1EF5" w:rsidRDefault="007A1EF5">
      <w:pPr>
        <w:spacing w:line="360" w:lineRule="auto"/>
        <w:outlineLvl w:val="0"/>
        <w:rPr>
          <w:rFonts w:ascii="Calibri" w:hAnsi="Calibri" w:cs="Arial"/>
          <w:highlight w:val="cyan"/>
        </w:rPr>
      </w:pPr>
      <w:r>
        <w:rPr>
          <w:noProof/>
        </w:rPr>
        <w:pict>
          <v:shape id="_x0000_s1075" type="#_x0000_t202" style="position:absolute;margin-left:140.15pt;margin-top:158.4pt;width:63pt;height:17.9pt;z-index:251681792" filled="f" stroked="f">
            <v:textbox style="mso-next-textbox:#_x0000_s1075">
              <w:txbxContent>
                <w:p w:rsidR="007A1EF5" w:rsidRPr="00931AD9" w:rsidRDefault="007A1EF5">
                  <w:pPr>
                    <w:rPr>
                      <w:sz w:val="16"/>
                      <w:szCs w:val="16"/>
                    </w:rPr>
                  </w:pPr>
                  <w:r w:rsidRPr="00931AD9">
                    <w:rPr>
                      <w:sz w:val="16"/>
                      <w:szCs w:val="16"/>
                    </w:rPr>
                    <w:t>Abbildung</w:t>
                  </w:r>
                  <w:r>
                    <w:rPr>
                      <w:sz w:val="16"/>
                      <w:szCs w:val="16"/>
                    </w:rPr>
                    <w:t xml:space="preserve"> 47</w:t>
                  </w:r>
                </w:p>
              </w:txbxContent>
            </v:textbox>
          </v:shape>
        </w:pict>
      </w:r>
      <w:r w:rsidRPr="00DD0F19">
        <w:rPr>
          <w:rFonts w:ascii="Calibri" w:hAnsi="Calibri" w:cs="Arial"/>
          <w:noProof/>
        </w:rPr>
        <w:object w:dxaOrig="7143" w:dyaOrig="3139">
          <v:shape id="Objekt 27" o:spid="_x0000_i1066" type="#_x0000_t75" style="width:357pt;height:153.75pt;visibility:visible" o:ole="">
            <v:imagedata r:id="rId83" o:title=""/>
            <o:lock v:ext="edit" aspectratio="f"/>
          </v:shape>
          <o:OLEObject Type="Embed" ProgID="Excel.Chart.8" ShapeID="Objekt 27" DrawAspect="Content" ObjectID="_1330351662" r:id="rId84"/>
        </w:object>
      </w: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p>
    <w:p w:rsidR="007A1EF5" w:rsidRDefault="007A1EF5">
      <w:pPr>
        <w:spacing w:line="360" w:lineRule="auto"/>
        <w:outlineLvl w:val="0"/>
        <w:rPr>
          <w:rFonts w:ascii="Calibri" w:hAnsi="Calibri" w:cs="Arial"/>
          <w:highlight w:val="cyan"/>
        </w:rPr>
      </w:pPr>
    </w:p>
    <w:p w:rsidR="007A1EF5" w:rsidRPr="00FF09C0" w:rsidRDefault="007A1EF5">
      <w:pPr>
        <w:pBdr>
          <w:bottom w:val="single" w:sz="4" w:space="1" w:color="auto"/>
        </w:pBdr>
        <w:spacing w:line="360" w:lineRule="auto"/>
        <w:jc w:val="both"/>
        <w:rPr>
          <w:rFonts w:ascii="Calibri" w:hAnsi="Calibri" w:cs="Arial"/>
          <w:b/>
        </w:rPr>
      </w:pPr>
      <w:r w:rsidRPr="00FF09C0">
        <w:rPr>
          <w:rFonts w:ascii="Calibri" w:hAnsi="Calibri" w:cs="Arial"/>
          <w:b/>
        </w:rPr>
        <w:t>(4) Zusammenfassung der wichtigsten Ergebnisse der Sozialraumanalyse</w:t>
      </w:r>
    </w:p>
    <w:p w:rsidR="007A1EF5" w:rsidRDefault="007A1EF5">
      <w:pPr>
        <w:spacing w:line="360" w:lineRule="auto"/>
        <w:rPr>
          <w:rFonts w:ascii="Calibri" w:hAnsi="Calibri" w:cs="Arial"/>
        </w:rPr>
      </w:pPr>
    </w:p>
    <w:p w:rsidR="007A1EF5" w:rsidRDefault="007A1EF5">
      <w:pPr>
        <w:pStyle w:val="ListParagraph"/>
        <w:numPr>
          <w:ilvl w:val="0"/>
          <w:numId w:val="44"/>
          <w:numberingChange w:id="66" w:author="STV-50-VOGT" w:date="2010-03-17T17:16:00Z" w:original=""/>
        </w:numPr>
        <w:spacing w:line="360" w:lineRule="auto"/>
        <w:jc w:val="both"/>
        <w:rPr>
          <w:rFonts w:ascii="Calibri" w:hAnsi="Calibri" w:cs="Arial"/>
        </w:rPr>
      </w:pPr>
      <w:r>
        <w:rPr>
          <w:rFonts w:ascii="Calibri" w:hAnsi="Calibri" w:cs="Arial"/>
        </w:rPr>
        <w:t>Innerhalb des Stadtgebiets weist die Stadt Leverkusen ein hohes Maß an räumlicher Differenzierung auf.</w:t>
      </w:r>
    </w:p>
    <w:p w:rsidR="007A1EF5" w:rsidRDefault="007A1EF5">
      <w:pPr>
        <w:pStyle w:val="ListParagraph"/>
        <w:spacing w:line="360" w:lineRule="auto"/>
        <w:ind w:left="720"/>
        <w:jc w:val="both"/>
        <w:rPr>
          <w:rFonts w:ascii="Calibri" w:hAnsi="Calibri" w:cs="Arial"/>
        </w:rPr>
      </w:pPr>
    </w:p>
    <w:p w:rsidR="007A1EF5" w:rsidRDefault="007A1EF5">
      <w:pPr>
        <w:pStyle w:val="ListParagraph"/>
        <w:numPr>
          <w:ilvl w:val="0"/>
          <w:numId w:val="44"/>
          <w:numberingChange w:id="67" w:author="STV-50-VOGT" w:date="2010-03-17T17:16:00Z" w:original=""/>
        </w:numPr>
        <w:spacing w:line="360" w:lineRule="auto"/>
        <w:jc w:val="both"/>
        <w:rPr>
          <w:rFonts w:ascii="Calibri" w:hAnsi="Calibri" w:cs="Arial"/>
        </w:rPr>
      </w:pPr>
      <w:r>
        <w:rPr>
          <w:rFonts w:ascii="Calibri" w:hAnsi="Calibri" w:cs="Arial"/>
        </w:rPr>
        <w:t>Bestimmte Stadtteile und Wohngebiete weisen negative Abweichungen gegenüber der Gesamtstadt auf. Aus der Perspektive der Sozialberichterstattung heraus betrachtet, sind sie daher als strukturell eher benachteiligt zu bewerten.</w:t>
      </w:r>
    </w:p>
    <w:p w:rsidR="007A1EF5" w:rsidRDefault="007A1EF5">
      <w:pPr>
        <w:pStyle w:val="ListParagraph"/>
        <w:spacing w:line="360" w:lineRule="auto"/>
        <w:ind w:left="720"/>
        <w:jc w:val="both"/>
        <w:rPr>
          <w:rFonts w:ascii="Calibri" w:hAnsi="Calibri" w:cs="Arial"/>
        </w:rPr>
      </w:pPr>
    </w:p>
    <w:p w:rsidR="007A1EF5" w:rsidRDefault="007A1EF5">
      <w:pPr>
        <w:pStyle w:val="ListParagraph"/>
        <w:numPr>
          <w:ilvl w:val="0"/>
          <w:numId w:val="44"/>
          <w:numberingChange w:id="68" w:author="STV-50-VOGT" w:date="2010-03-17T17:16:00Z" w:original=""/>
        </w:numPr>
        <w:spacing w:line="360" w:lineRule="auto"/>
        <w:jc w:val="both"/>
        <w:rPr>
          <w:rFonts w:ascii="Calibri" w:hAnsi="Calibri" w:cs="Arial"/>
        </w:rPr>
      </w:pPr>
      <w:r>
        <w:rPr>
          <w:rFonts w:ascii="Calibri" w:hAnsi="Calibri"/>
        </w:rPr>
        <w:t>Folgende räumlich zusammenhängende Stadtgebiete weisen anhand der Indikatoren des Sozialmonitorings auf eher strukturelle Benachteiligung hin und sind deshalb im Wege einer sogenannten Sozialraumanalyse näher zu untersuchen: Manfort (mit den statischen Quartieren Südwest und Südost) und Wiesdorf-Ost, Opladen und Quettingen-West, Rheindorf-Nord sowie die einzelnen Wohngebiete Schöne Aussicht, Alkenrath-Nord, Wohnpark Steinbüchel (vormals Derr-Siedlung) und Mathildenhof.</w:t>
      </w:r>
    </w:p>
    <w:p w:rsidR="007A1EF5" w:rsidRDefault="007A1EF5">
      <w:pPr>
        <w:pStyle w:val="ListParagraph"/>
        <w:rPr>
          <w:rFonts w:ascii="Calibri" w:hAnsi="Calibri" w:cs="Arial"/>
        </w:rPr>
      </w:pPr>
    </w:p>
    <w:p w:rsidR="007A1EF5" w:rsidRDefault="007A1EF5">
      <w:pPr>
        <w:pStyle w:val="ListParagraph"/>
        <w:numPr>
          <w:ilvl w:val="0"/>
          <w:numId w:val="44"/>
          <w:numberingChange w:id="69" w:author="STV-50-VOGT" w:date="2010-03-17T17:16:00Z" w:original=""/>
        </w:numPr>
        <w:spacing w:line="360" w:lineRule="auto"/>
        <w:jc w:val="both"/>
        <w:rPr>
          <w:rFonts w:ascii="Calibri" w:hAnsi="Calibri" w:cs="Arial"/>
        </w:rPr>
      </w:pPr>
      <w:r>
        <w:rPr>
          <w:rFonts w:ascii="Calibri" w:hAnsi="Calibri" w:cs="Arial"/>
        </w:rPr>
        <w:t>In den genannten Stadtteilen und Wohngebieten ist der Anteil von Migrantinnen und Migranten an der Gesamtbevölkerung besonders hoch, das heißt es besteht ein besonders großer Bedarf an ethnischer und kultureller Integration. Die Altersstruktur zeigt in aller Regel Unterschiede gegenüber der Gesamtstadt auf. Das Durchschnittseinkommen liegt unter dem gesamtstädtischen Wert und der Aufwand für Einkommensersatzleistungen ist besonders hoch. Häufig ist der Anteil der Kinder, die SGB II-Leistungen erhalten, überdurchschnittlich hoch.</w:t>
      </w:r>
    </w:p>
    <w:p w:rsidR="007A1EF5" w:rsidRDefault="007A1EF5">
      <w:pPr>
        <w:pStyle w:val="ListParagraph"/>
        <w:rPr>
          <w:rFonts w:ascii="Calibri" w:hAnsi="Calibri" w:cs="Arial"/>
        </w:rPr>
      </w:pPr>
    </w:p>
    <w:p w:rsidR="007A1EF5" w:rsidRDefault="007A1EF5">
      <w:pPr>
        <w:pStyle w:val="ListParagraph"/>
        <w:numPr>
          <w:ilvl w:val="0"/>
          <w:numId w:val="44"/>
          <w:numberingChange w:id="70" w:author="STV-50-VOGT" w:date="2010-03-17T17:16:00Z" w:original=""/>
        </w:numPr>
        <w:spacing w:line="360" w:lineRule="auto"/>
        <w:jc w:val="both"/>
        <w:rPr>
          <w:rFonts w:ascii="Calibri" w:hAnsi="Calibri" w:cs="Arial"/>
        </w:rPr>
      </w:pPr>
      <w:r>
        <w:rPr>
          <w:rFonts w:ascii="Calibri" w:hAnsi="Calibri" w:cs="Arial"/>
        </w:rPr>
        <w:t>Diese Aussagen beziehen sich auf den aktuellen Zeitpunkt. Positive wie vor allem negative Entwicklungen zu beobachten, ist eine der wichtigsten Aufgaben künftiger Sozialberichterstattung.</w:t>
      </w:r>
    </w:p>
    <w:p w:rsidR="007A1EF5" w:rsidRDefault="007A1EF5">
      <w:pPr>
        <w:spacing w:line="360" w:lineRule="auto"/>
        <w:rPr>
          <w:rFonts w:ascii="Calibri" w:hAnsi="Calibri" w:cs="Arial"/>
        </w:rPr>
      </w:pPr>
    </w:p>
    <w:p w:rsidR="007A1EF5" w:rsidRDefault="007A1EF5">
      <w:pPr>
        <w:spacing w:line="360" w:lineRule="auto"/>
        <w:rPr>
          <w:rFonts w:ascii="Calibri" w:hAnsi="Calibri" w:cs="Arial"/>
          <w:b/>
          <w:sz w:val="32"/>
          <w:szCs w:val="32"/>
        </w:rPr>
      </w:pPr>
      <w:r>
        <w:rPr>
          <w:rFonts w:ascii="Calibri" w:hAnsi="Calibri" w:cs="Arial"/>
        </w:rPr>
        <w:br w:type="page"/>
      </w:r>
      <w:r w:rsidRPr="00521972">
        <w:rPr>
          <w:rFonts w:ascii="Calibri" w:hAnsi="Calibri" w:cs="Arial"/>
          <w:sz w:val="32"/>
          <w:szCs w:val="32"/>
        </w:rPr>
        <w:t>I</w:t>
      </w:r>
      <w:r w:rsidRPr="00521972">
        <w:rPr>
          <w:rFonts w:ascii="Calibri" w:hAnsi="Calibri" w:cs="Arial"/>
          <w:b/>
          <w:sz w:val="32"/>
          <w:szCs w:val="32"/>
        </w:rPr>
        <w:t>V</w:t>
      </w:r>
      <w:r>
        <w:rPr>
          <w:rFonts w:ascii="Calibri" w:hAnsi="Calibri" w:cs="Arial"/>
          <w:b/>
          <w:sz w:val="32"/>
          <w:szCs w:val="32"/>
        </w:rPr>
        <w:t>. Bericht über den Fachtag am 12. November 2009</w:t>
      </w:r>
    </w:p>
    <w:p w:rsidR="007A1EF5" w:rsidRDefault="007A1EF5">
      <w:pPr>
        <w:spacing w:line="360" w:lineRule="auto"/>
        <w:rPr>
          <w:rFonts w:ascii="Calibri" w:hAnsi="Calibri" w:cs="Arial"/>
          <w:b/>
          <w:sz w:val="32"/>
          <w:szCs w:val="32"/>
        </w:rPr>
      </w:pPr>
    </w:p>
    <w:p w:rsidR="007A1EF5" w:rsidRPr="00FF09C0" w:rsidRDefault="007A1EF5" w:rsidP="009B270B">
      <w:pPr>
        <w:spacing w:line="360" w:lineRule="auto"/>
        <w:rPr>
          <w:rFonts w:ascii="Calibri" w:hAnsi="Calibri" w:cs="Arial"/>
          <w:b/>
        </w:rPr>
      </w:pPr>
      <w:r w:rsidRPr="00FF09C0">
        <w:rPr>
          <w:rFonts w:ascii="Calibri" w:hAnsi="Calibri" w:cs="Arial"/>
          <w:b/>
        </w:rPr>
        <w:t>(1)  Ablauf des Fachtags</w:t>
      </w:r>
    </w:p>
    <w:p w:rsidR="007A1EF5"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r w:rsidRPr="009B270B">
        <w:rPr>
          <w:rFonts w:ascii="Calibri" w:hAnsi="Calibri" w:cs="Arial"/>
        </w:rPr>
        <w:t xml:space="preserve">Der Fachtag zum Leverkusener  Sozialbericht fand am 12.11.2009 im Jugendhaus Lindenhof in Leverkusen Manfort statt. Eingeladen waren sowohl Politiker als auch Mitarbeiter von Wohlfahrtsverbänden, Lehrer von Leverkusener Schulen und der Stadt Leverkusen. Ziel dieses Fachtages sollte es sein, durch die Zusammenarbeit dieser aus unterschiedlichen Institutionen stammenden Teilnehmern und Teilnehmerinnen, Handlungsvorschläge für Problemlagen in der Stadt zu entwickeln um diese konkretisieren und umsetzen zu können.  </w:t>
      </w:r>
    </w:p>
    <w:p w:rsidR="007A1EF5" w:rsidRPr="009B270B" w:rsidRDefault="007A1EF5" w:rsidP="009B270B">
      <w:pPr>
        <w:spacing w:line="360" w:lineRule="auto"/>
        <w:rPr>
          <w:rFonts w:ascii="Calibri" w:hAnsi="Calibri" w:cs="Arial"/>
        </w:rPr>
      </w:pPr>
      <w:r w:rsidRPr="009B270B">
        <w:rPr>
          <w:rFonts w:ascii="Calibri" w:hAnsi="Calibri" w:cs="Arial"/>
        </w:rPr>
        <w:t>Zunächst wurden die Teilnehmer begrüßt und bekamen eine Tagungsmappe ausgehändigt, in der sie einen Tagesplan sowie weitere Informationen finden konnten. Die Begrüßung erfolgte sowohl durch Herrn Stein als auch durch eine Rede des Oberbürgermeisters, Herrn Buchhorn. Herr Eicke von der katholischen Fachhochschule, der als Moderator für diese Veranstaltung verantwortlich war, erläuterte den Teilnehmern den Tagesablauf und erklärte die Vorgehensweise. Er stellte die Methode des „World Cafes“ dar, die eine Möglichkeit für Arbeitsprozesse bei Großgruppenveranstaltungen ist. Bei dieser Methode, werden kleine Tischgruppen gebildet in denen die Teilnehmer zu einer bestimmten Thematik Sachverhalte erarbeiten und ihre Ideen und Gedanken direkt auf eine Art Papier Tischdecke notieren können.</w:t>
      </w:r>
    </w:p>
    <w:p w:rsidR="007A1EF5" w:rsidRPr="009B270B" w:rsidRDefault="007A1EF5" w:rsidP="009B270B">
      <w:pPr>
        <w:spacing w:line="360" w:lineRule="auto"/>
        <w:rPr>
          <w:rFonts w:ascii="Calibri" w:hAnsi="Calibri" w:cs="Arial"/>
        </w:rPr>
      </w:pPr>
      <w:r w:rsidRPr="009B270B">
        <w:rPr>
          <w:rFonts w:ascii="Calibri" w:hAnsi="Calibri" w:cs="Arial"/>
        </w:rPr>
        <w:t xml:space="preserve"> Beim Leverkusener Fachtag wurden diese Tischgruppen (Workshops) durch verschieden ausgewählte Stadtteile der Stadt Leverkusen definiert. Es gab einen Workshop zu den Stadtteilen Opladen und Quettingen West, einen zum Stadtteil Rheindorf Nord, eine Tischgruppe die sich mit Manfort- Südwest und Südost als auch mit Wiesdorf- Ost beschäftigte sowie eine Gruppe die sich in die Schöne Aussicht, in Alkenrath-Nord, den Wohnpark Steinbüchel und Mathildenhof gliederte.</w:t>
      </w:r>
    </w:p>
    <w:p w:rsidR="007A1EF5" w:rsidRPr="009B270B" w:rsidRDefault="007A1EF5" w:rsidP="009B270B">
      <w:pPr>
        <w:spacing w:line="360" w:lineRule="auto"/>
        <w:rPr>
          <w:rFonts w:ascii="Calibri" w:hAnsi="Calibri" w:cs="Arial"/>
        </w:rPr>
      </w:pPr>
      <w:r w:rsidRPr="009B270B">
        <w:rPr>
          <w:rFonts w:ascii="Calibri" w:hAnsi="Calibri" w:cs="Arial"/>
        </w:rPr>
        <w:t xml:space="preserve">Des Weiteren gab es ausgewählte Themenbereiche über die in den Gruppen bezogen auf die Stadtteile diskutiert werden sollte. Diese Themenbereiche gliederten sich in Bildung und Erziehung, das Einkommen, die Gesundheit, Wohnen und in politische Partizipation. Außerdem gab es Rubriken von Personen- bzw. Zielgruppen die den Teilnehmern vorgegeben wurden. Diese waren die Gesamtbevölkerung, erwerbsfähige Hilfebedürftige, Alleinerziehende sowie Bevölkerungsgruppen mit besonderem Unterstützungsbedarf. </w:t>
      </w:r>
    </w:p>
    <w:p w:rsidR="007A1EF5" w:rsidRPr="009B270B" w:rsidRDefault="007A1EF5" w:rsidP="009B270B">
      <w:pPr>
        <w:spacing w:line="360" w:lineRule="auto"/>
        <w:rPr>
          <w:rFonts w:ascii="Calibri" w:hAnsi="Calibri" w:cs="Arial"/>
        </w:rPr>
      </w:pPr>
      <w:r w:rsidRPr="009B270B">
        <w:rPr>
          <w:rFonts w:ascii="Calibri" w:hAnsi="Calibri" w:cs="Arial"/>
        </w:rPr>
        <w:t xml:space="preserve">Die Methode des „World Cafes“ sieht vor, dass es an jedem Gruppentisch einen so genannten „Gastgeber“ gibt, der in jeder Runde an seinem Tisch sitzen bleibt während alle anderen Teilnehmer zwischen den Tischgruppen rotieren. Durch diese Methode des Rotierens, ist es für alle Teilnehmer möglich unterschiedliche Stadtteile und Themen zu bearbeiten. </w:t>
      </w:r>
    </w:p>
    <w:p w:rsidR="007A1EF5" w:rsidRPr="009B270B" w:rsidRDefault="007A1EF5" w:rsidP="009B270B">
      <w:pPr>
        <w:spacing w:line="360" w:lineRule="auto"/>
        <w:rPr>
          <w:rFonts w:ascii="Calibri" w:hAnsi="Calibri" w:cs="Arial"/>
        </w:rPr>
      </w:pPr>
      <w:r w:rsidRPr="009B270B">
        <w:rPr>
          <w:rFonts w:ascii="Calibri" w:hAnsi="Calibri" w:cs="Arial"/>
        </w:rPr>
        <w:t xml:space="preserve">In diesem Zusammenhang stellte Herr Eicke ebenfalls die Gruppen Moderatoren vor, die die einzelnen Workshopgruppen in ihrem Arbeitsprozess begleiten sollten. </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r w:rsidRPr="009B270B">
        <w:rPr>
          <w:rFonts w:ascii="Calibri" w:hAnsi="Calibri" w:cs="Arial"/>
        </w:rPr>
        <w:t xml:space="preserve">Nachdem Herr Eicke die Vorgehensweise dargestellt und erläutert hatte, hielten Frau Vogt (Leiterin Fachbereich Soziales) und Herr Gurk (Leiter Fachbereich Jugend) einen kurzen Vortrag in dem sie statistische Fakten der Stadt Leverkusen darstellten und somit schon auf Problemlagen aufmerksam machten. Diese Präsentation wurde an allen Tischgruppen ausgelegt um den Teilnehmer nötige statistische Informationen zu liefern. </w:t>
      </w:r>
    </w:p>
    <w:p w:rsidR="007A1EF5" w:rsidRPr="009B270B" w:rsidRDefault="007A1EF5" w:rsidP="009B270B">
      <w:pPr>
        <w:spacing w:line="360" w:lineRule="auto"/>
        <w:rPr>
          <w:rFonts w:ascii="Calibri" w:hAnsi="Calibri" w:cs="Arial"/>
        </w:rPr>
      </w:pPr>
      <w:r w:rsidRPr="009B270B">
        <w:rPr>
          <w:rFonts w:ascii="Calibri" w:hAnsi="Calibri" w:cs="Arial"/>
        </w:rPr>
        <w:t>Nach den Vorträgen begaben sich die Teilnehmer aufgrund ihrer farblich unterschiedlichen Namensschilder in ihre Arbeitsgruppen die sich durch mehrere Räume des Lindenhofes erstreckten und ihnen durch die Farbe ihres Namenschildes zugeteilt wurde.</w:t>
      </w:r>
    </w:p>
    <w:p w:rsidR="007A1EF5" w:rsidRPr="009B270B" w:rsidRDefault="007A1EF5" w:rsidP="009B270B">
      <w:pPr>
        <w:spacing w:line="360" w:lineRule="auto"/>
        <w:rPr>
          <w:rFonts w:ascii="Calibri" w:hAnsi="Calibri" w:cs="Arial"/>
        </w:rPr>
      </w:pPr>
      <w:r w:rsidRPr="009B270B">
        <w:rPr>
          <w:rFonts w:ascii="Calibri" w:hAnsi="Calibri" w:cs="Arial"/>
        </w:rPr>
        <w:t>Im Anschluss an den beschriebenen Gruppenprozess des „World Cafes“ gab es eine kleine Mittagspause nach der die Ergebnisse der Tischgruppen dem Plenum durch die Moderatoren vorgestellt wurden. Diese Ergebnisse wurden an Stellwänden befestigt so dass alle Teilnehmer die auf den Papier Tischdecken festgehaltenen Vorschläge und Ideen betrachten konnten.  Abschließend gab es eine Podiumsdiskussion, bei der sich Herr Stein (Sozialdezernent), Herr Gurk (Leiter Fachbereich Jugend) und Herr Höroldt (Diakonisches Werk)  zu den vorgestellten Handlungsvorschlägen äußerten.</w:t>
      </w: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p>
    <w:p w:rsidR="007A1EF5" w:rsidRPr="00FF09C0" w:rsidRDefault="007A1EF5" w:rsidP="009B270B">
      <w:pPr>
        <w:spacing w:line="360" w:lineRule="auto"/>
        <w:rPr>
          <w:rFonts w:ascii="Calibri" w:hAnsi="Calibri" w:cs="Arial"/>
          <w:b/>
        </w:rPr>
      </w:pPr>
      <w:r w:rsidRPr="00FF09C0">
        <w:rPr>
          <w:rFonts w:ascii="Calibri" w:hAnsi="Calibri" w:cs="Arial"/>
          <w:b/>
        </w:rPr>
        <w:t xml:space="preserve">(2) Zusammenfassende Darstellung der Ergebnisse </w:t>
      </w:r>
    </w:p>
    <w:p w:rsidR="007A1EF5" w:rsidRDefault="007A1EF5" w:rsidP="009B270B">
      <w:pPr>
        <w:spacing w:line="360" w:lineRule="auto"/>
        <w:jc w:val="both"/>
        <w:rPr>
          <w:rFonts w:ascii="Arial" w:hAnsi="Arial" w:cs="Arial"/>
        </w:rPr>
      </w:pPr>
    </w:p>
    <w:p w:rsidR="007A1EF5" w:rsidRPr="009B270B" w:rsidRDefault="007A1EF5" w:rsidP="009B270B">
      <w:pPr>
        <w:spacing w:line="360" w:lineRule="auto"/>
        <w:rPr>
          <w:rFonts w:ascii="Calibri" w:hAnsi="Calibri" w:cs="Arial"/>
        </w:rPr>
      </w:pPr>
      <w:r w:rsidRPr="009B270B">
        <w:rPr>
          <w:rFonts w:ascii="Calibri" w:hAnsi="Calibri" w:cs="Arial"/>
        </w:rPr>
        <w:t xml:space="preserve">Im Folgenden werden die zentralen Ergebnisse der Gruppenarbeiten im „World Cafe“ vorgestellt. </w:t>
      </w:r>
    </w:p>
    <w:p w:rsidR="007A1EF5" w:rsidRPr="009B270B" w:rsidRDefault="007A1EF5" w:rsidP="009B270B">
      <w:pPr>
        <w:spacing w:line="360" w:lineRule="auto"/>
        <w:rPr>
          <w:rFonts w:ascii="Calibri" w:hAnsi="Calibri" w:cs="Arial"/>
        </w:rPr>
      </w:pPr>
      <w:r w:rsidRPr="009B270B">
        <w:rPr>
          <w:rFonts w:ascii="Calibri" w:hAnsi="Calibri" w:cs="Arial"/>
        </w:rPr>
        <w:t xml:space="preserve">Die Durchsicht der Gruppenergebnisse hat gezeigt, dass es in den Stadtteilen bezüglich Bildung und Betreuung, Einkommen, Gesundheit und Wohnen ähnliche Probleme gibt, wenn auch in teils unterschiedlicher Quantität und Rangfolge. </w:t>
      </w:r>
    </w:p>
    <w:p w:rsidR="007A1EF5" w:rsidRPr="009B270B" w:rsidRDefault="007A1EF5" w:rsidP="009B270B">
      <w:pPr>
        <w:spacing w:line="360" w:lineRule="auto"/>
        <w:rPr>
          <w:rFonts w:ascii="Calibri" w:hAnsi="Calibri" w:cs="Arial"/>
        </w:rPr>
      </w:pPr>
      <w:r w:rsidRPr="009B270B">
        <w:rPr>
          <w:rFonts w:ascii="Calibri" w:hAnsi="Calibri" w:cs="Arial"/>
        </w:rPr>
        <w:t xml:space="preserve">Die politische Partizipation ist von den Teilnehmenden nicht in dem gewünschten Maß thematisiert worden. Es wurde eher auf die Aktivitäten der politischen Akteure abgehoben als auf Möglichkeiten zur Steigerung der politischen Betätigung der Bevölkerung. </w:t>
      </w:r>
    </w:p>
    <w:p w:rsidR="007A1EF5" w:rsidRPr="009B270B" w:rsidRDefault="007A1EF5" w:rsidP="009B270B">
      <w:pPr>
        <w:spacing w:line="360" w:lineRule="auto"/>
        <w:rPr>
          <w:rFonts w:ascii="Calibri" w:hAnsi="Calibri" w:cs="Arial"/>
        </w:rPr>
      </w:pPr>
      <w:r w:rsidRPr="009B270B">
        <w:rPr>
          <w:rFonts w:ascii="Calibri" w:hAnsi="Calibri" w:cs="Arial"/>
        </w:rPr>
        <w:t>Die identifizierten Probleme und Chancen, aber auch die konkreten Handlungsempfehlungen und Ideen, werden aufgrund der beschriebenen Erkenntnisse nicht stadtteilbezogen und für die Zielgruppen dargestellt, sondern zu neuen, thematisch zusammenhängenden Schlüsselbereichen zusammengefasst. Alle Statements der Teilnehmenden sind jedoch, sortiert nach Stadtteilen und den weiteren Vorgaben aus dem „World Cafe“, den Tabellen im Anhang zu entnehmen.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r w:rsidRPr="009B270B">
        <w:rPr>
          <w:rFonts w:ascii="Calibri" w:hAnsi="Calibri" w:cs="Arial"/>
        </w:rPr>
        <w:t xml:space="preserve">Die Teilnehmenden sehen gerade bei den Möglichkeiten zur Einkommenserzielung, bei der Informationsbeschaffung und -bewertung sowie der Sozial- und Altersstruktur der Bevölkerung Probleme. Allgemein wird festgestellt, dass die Verfügung über finanzielle Mittel kein Hindernis für die Teilhabe am kulturellen und sozialen Angebot in der Stadt sein darf. </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Professioneller „Kümmerer“</w:t>
      </w:r>
    </w:p>
    <w:p w:rsidR="007A1EF5" w:rsidRPr="009B270B" w:rsidRDefault="007A1EF5" w:rsidP="009B270B">
      <w:pPr>
        <w:spacing w:line="360" w:lineRule="auto"/>
        <w:rPr>
          <w:rFonts w:ascii="Calibri" w:hAnsi="Calibri" w:cs="Arial"/>
        </w:rPr>
      </w:pPr>
      <w:r w:rsidRPr="009B270B">
        <w:rPr>
          <w:rFonts w:ascii="Calibri" w:hAnsi="Calibri" w:cs="Arial"/>
        </w:rPr>
        <w:t xml:space="preserve">Die Teilnehmenden wünschen sich </w:t>
      </w:r>
      <w:r w:rsidRPr="009B270B">
        <w:rPr>
          <w:rFonts w:ascii="Calibri" w:hAnsi="Calibri" w:cs="Arial"/>
        </w:rPr>
        <w:noBreakHyphen/>
        <w:t xml:space="preserve"> quer über alle Stadtteile </w:t>
      </w:r>
      <w:r w:rsidRPr="009B270B">
        <w:rPr>
          <w:rFonts w:ascii="Calibri" w:hAnsi="Calibri" w:cs="Arial"/>
        </w:rPr>
        <w:noBreakHyphen/>
        <w:t xml:space="preserve"> eine Position für die sie den Begriff „Kümmerer“ verwenden. An diese Position werden allgemein hohe Erwartungen für ein besseres Miteinander im Stadtteil geknüpft. Die Person ist Ansprechpartner und Vermittler für alle Belange und Probleme im Stadtteil und regelmäßig vor Ort. </w:t>
      </w:r>
    </w:p>
    <w:p w:rsidR="007A1EF5" w:rsidRPr="009B270B"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„Netzwerken“ und Informieren</w:t>
      </w:r>
    </w:p>
    <w:p w:rsidR="007A1EF5" w:rsidRPr="009B270B" w:rsidRDefault="007A1EF5" w:rsidP="009B270B">
      <w:pPr>
        <w:spacing w:line="360" w:lineRule="auto"/>
        <w:rPr>
          <w:rFonts w:ascii="Calibri" w:hAnsi="Calibri" w:cs="Arial"/>
        </w:rPr>
      </w:pPr>
      <w:r w:rsidRPr="009B270B">
        <w:rPr>
          <w:rFonts w:ascii="Calibri" w:hAnsi="Calibri" w:cs="Arial"/>
        </w:rPr>
        <w:t xml:space="preserve">Vernetzung ist ein weiteres immer wieder genanntes Stichwort. Hierbei werden insbesondere die Akteursgruppen Politik und Verwaltung (z.B. FB 50, 51, 53) angesprochen, deren Aktivitäten vernetzt werden sollen. </w:t>
      </w:r>
    </w:p>
    <w:p w:rsidR="007A1EF5" w:rsidRPr="009B270B" w:rsidRDefault="007A1EF5" w:rsidP="009B270B">
      <w:pPr>
        <w:spacing w:line="360" w:lineRule="auto"/>
        <w:rPr>
          <w:rFonts w:ascii="Calibri" w:hAnsi="Calibri" w:cs="Arial"/>
        </w:rPr>
      </w:pPr>
      <w:r w:rsidRPr="009B270B">
        <w:rPr>
          <w:rFonts w:ascii="Calibri" w:hAnsi="Calibri" w:cs="Arial"/>
        </w:rPr>
        <w:t xml:space="preserve">Zudem besteht der Wunsch, klare Informationsstrukturen und -kanäle zu schaffen und zu nutzen. Insbesondere hierzu sind Runde Tische in den Stadtteilen (je nach Thema auch unter Teilnahme von Kinderärzten, Lehrern…) als Erweiterung der Sozialraum AG denkbar. </w:t>
      </w:r>
    </w:p>
    <w:p w:rsidR="007A1EF5" w:rsidRPr="009B270B" w:rsidRDefault="007A1EF5" w:rsidP="009B270B">
      <w:pPr>
        <w:spacing w:line="360" w:lineRule="auto"/>
        <w:rPr>
          <w:rFonts w:ascii="Calibri" w:hAnsi="Calibri" w:cs="Arial"/>
        </w:rPr>
      </w:pPr>
      <w:r w:rsidRPr="009B270B">
        <w:rPr>
          <w:rFonts w:ascii="Calibri" w:hAnsi="Calibri" w:cs="Arial"/>
        </w:rPr>
        <w:t>WGL/Wohnungsgeber, AGL, Job-Service und Stadtverwaltung „vor Ort“ sind ein weiterer Wunsch der Teilnehmenden. Sie sollten in Stadtteilläden in allen Stadtteilen Sprechstunden anbieten. Ergänzend werden anonyme Beratungsangebote als hilfreich angesehen.</w:t>
      </w:r>
    </w:p>
    <w:p w:rsidR="007A1EF5" w:rsidRPr="009B270B" w:rsidRDefault="007A1EF5" w:rsidP="009B270B">
      <w:pPr>
        <w:spacing w:line="360" w:lineRule="auto"/>
        <w:rPr>
          <w:rFonts w:ascii="Calibri" w:hAnsi="Calibri" w:cs="Arial"/>
        </w:rPr>
      </w:pPr>
      <w:r w:rsidRPr="009B270B">
        <w:rPr>
          <w:rFonts w:ascii="Calibri" w:hAnsi="Calibri" w:cs="Arial"/>
        </w:rPr>
        <w:t xml:space="preserve">Bedarfsfeststellung und Planung sollen gemeinsam, bedürfnisgerecht und generationengerecht erfolgen. </w:t>
      </w:r>
    </w:p>
    <w:p w:rsidR="007A1EF5" w:rsidRPr="009B270B" w:rsidRDefault="007A1EF5" w:rsidP="009B270B">
      <w:pPr>
        <w:spacing w:line="360" w:lineRule="auto"/>
        <w:rPr>
          <w:rFonts w:ascii="Calibri" w:hAnsi="Calibri" w:cs="Arial"/>
        </w:rPr>
      </w:pPr>
      <w:r w:rsidRPr="009B270B">
        <w:rPr>
          <w:rFonts w:ascii="Calibri" w:hAnsi="Calibri" w:cs="Arial"/>
        </w:rPr>
        <w:t xml:space="preserve">Es wird eine professionelle Öffentlichkeitsarbeit im Sinne einer Werbung für die Aktivitäten und Maßnahmen vor Ort gefordert. Außerdem sind Informationen über bestehende Angebote längst nicht überall bekannt. </w:t>
      </w:r>
    </w:p>
    <w:p w:rsidR="007A1EF5" w:rsidRPr="009B270B" w:rsidRDefault="007A1EF5" w:rsidP="009B270B">
      <w:pPr>
        <w:spacing w:line="360" w:lineRule="auto"/>
        <w:rPr>
          <w:rFonts w:ascii="Calibri" w:hAnsi="Calibri" w:cs="Arial"/>
        </w:rPr>
      </w:pPr>
      <w:r w:rsidRPr="009B270B">
        <w:rPr>
          <w:rFonts w:ascii="Calibri" w:hAnsi="Calibri" w:cs="Arial"/>
        </w:rPr>
        <w:t>Grundsätzlich sollten Informationen und Tipps in den Heimatsprachen der Bevölkerungsgruppen verfügbar sein. Auch können Internetangebote, ebenso wie SMS-Mitteilungen, für die Information der Bevölkerung sorgen.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Integration und Identifikation</w:t>
      </w:r>
    </w:p>
    <w:p w:rsidR="007A1EF5" w:rsidRPr="009B270B" w:rsidRDefault="007A1EF5" w:rsidP="009B270B">
      <w:pPr>
        <w:spacing w:line="360" w:lineRule="auto"/>
        <w:rPr>
          <w:rFonts w:ascii="Calibri" w:hAnsi="Calibri" w:cs="Arial"/>
        </w:rPr>
      </w:pPr>
      <w:r w:rsidRPr="009B270B">
        <w:rPr>
          <w:rFonts w:ascii="Calibri" w:hAnsi="Calibri" w:cs="Arial"/>
        </w:rPr>
        <w:t xml:space="preserve">Ein wichtiges Anliegen war allen Teilnehmenden in den Stadtteilen die Integration statt einer Segregation zu fördern und eine Ghettobildung zu vermeiden. Beklagt wird insgesamt eine fehlende Identifikation mit dem Stadtteil. Fördern will man das Miteinander über geeignete Treffpunkte für die Bevölkerung, Orte der Kommunikation im Freien, wie auch in geschlossenen Räumen (Stadtteilläden). </w:t>
      </w:r>
    </w:p>
    <w:p w:rsidR="007A1EF5" w:rsidRPr="009B270B" w:rsidRDefault="007A1EF5" w:rsidP="009B270B">
      <w:pPr>
        <w:spacing w:line="360" w:lineRule="auto"/>
        <w:rPr>
          <w:rFonts w:ascii="Calibri" w:hAnsi="Calibri" w:cs="Arial"/>
        </w:rPr>
      </w:pPr>
      <w:r w:rsidRPr="009B270B">
        <w:rPr>
          <w:rFonts w:ascii="Calibri" w:hAnsi="Calibri" w:cs="Arial"/>
        </w:rPr>
        <w:t>Dadurch ließe sich auch die Solidarität zwischen den Generationen und den Bevölkerungsgruppen fördern. Für Kinder und jüngere Jugendliche werden zudem ganz konkret Spielplätze gefordert. Wünschenswert erscheinen ferner die Reaktivierung des Vereinslebens und die Öffnung der Vereine für alle Bevölkerungsgruppen.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Wohnen, Infrastruktur, Nahversorgung</w:t>
      </w:r>
    </w:p>
    <w:p w:rsidR="007A1EF5" w:rsidRPr="009B270B" w:rsidRDefault="007A1EF5" w:rsidP="009B270B">
      <w:pPr>
        <w:spacing w:line="360" w:lineRule="auto"/>
        <w:rPr>
          <w:rFonts w:ascii="Calibri" w:hAnsi="Calibri" w:cs="Arial"/>
        </w:rPr>
      </w:pPr>
      <w:r w:rsidRPr="009B270B">
        <w:rPr>
          <w:rFonts w:ascii="Calibri" w:hAnsi="Calibri" w:cs="Arial"/>
        </w:rPr>
        <w:t>Problematisch ist das zu geringe Angebot an bezahlbarem Wohnraum (insbesondere bei Sozialwohnungen) gerade für bildungsferne Bevölkerungsschichten. Abhilfe könnten der moderierte Wohnungstausch oder eine Wohnungsanpassung bieten.</w:t>
      </w:r>
    </w:p>
    <w:p w:rsidR="007A1EF5" w:rsidRPr="009B270B" w:rsidRDefault="007A1EF5" w:rsidP="009B270B">
      <w:pPr>
        <w:spacing w:line="360" w:lineRule="auto"/>
        <w:rPr>
          <w:rFonts w:ascii="Calibri" w:hAnsi="Calibri" w:cs="Arial"/>
        </w:rPr>
      </w:pPr>
      <w:r w:rsidRPr="009B270B">
        <w:rPr>
          <w:rFonts w:ascii="Calibri" w:hAnsi="Calibri" w:cs="Arial"/>
        </w:rPr>
        <w:t>Kritisch für die im Quartier Lebenden werden andererseits die Leerstände bei Wohnraum und Geschäftsgebäuden insbesondere im Wohnpark Steinbüchel gesehen. Auch in dieser Beziehung wird eine gemischte Alters- und Sozialstruktur von vielen durchaus als Chance in den Quartieren gesehen.</w:t>
      </w:r>
    </w:p>
    <w:p w:rsidR="007A1EF5" w:rsidRPr="009B270B" w:rsidRDefault="007A1EF5" w:rsidP="009B270B">
      <w:pPr>
        <w:spacing w:line="360" w:lineRule="auto"/>
        <w:rPr>
          <w:rFonts w:ascii="Calibri" w:hAnsi="Calibri" w:cs="Arial"/>
        </w:rPr>
      </w:pPr>
      <w:r w:rsidRPr="009B270B">
        <w:rPr>
          <w:rFonts w:ascii="Calibri" w:hAnsi="Calibri" w:cs="Arial"/>
        </w:rPr>
        <w:t>Allgemein wünscht man sich die Aufwertung (auch bauliche) des Wohnumfeldes, besonders aber die Auflösung von Großsiedlungen und stattdessen kleine überschaubare Wohneinheiten. Die Quartierentwicklung soll in jedem Fall in Kooperation mit WGL und anderen Wohnungsbaugesellschaften erfolgen.</w:t>
      </w:r>
    </w:p>
    <w:p w:rsidR="007A1EF5" w:rsidRPr="009B270B" w:rsidRDefault="007A1EF5" w:rsidP="009B270B">
      <w:pPr>
        <w:spacing w:line="360" w:lineRule="auto"/>
        <w:rPr>
          <w:rFonts w:ascii="Calibri" w:hAnsi="Calibri" w:cs="Arial"/>
        </w:rPr>
      </w:pPr>
      <w:r w:rsidRPr="009B270B">
        <w:rPr>
          <w:rFonts w:ascii="Calibri" w:hAnsi="Calibri" w:cs="Arial"/>
        </w:rPr>
        <w:t xml:space="preserve">Besonders problematisch erscheint auch die fehlende oder ungenügende Nahversorgung: Lebensmittel, medizinische Versorgung, Begegnung und Kultur werden konkret angesprochen. Die Teilnehmenden wünschen sich ein barrierefreies Wohnumfeld und haben teils auch von Angst gerade auf dem Weg zum Bahnhof gehört. </w:t>
      </w:r>
    </w:p>
    <w:p w:rsidR="007A1EF5" w:rsidRPr="009B270B" w:rsidRDefault="007A1EF5" w:rsidP="009B270B">
      <w:pPr>
        <w:spacing w:line="360" w:lineRule="auto"/>
        <w:rPr>
          <w:rFonts w:ascii="Calibri" w:hAnsi="Calibri" w:cs="Arial"/>
        </w:rPr>
      </w:pPr>
      <w:r w:rsidRPr="009B270B">
        <w:rPr>
          <w:rFonts w:ascii="Calibri" w:hAnsi="Calibri" w:cs="Arial"/>
        </w:rPr>
        <w:t>Abschließend wird mit der Verkehrsführung ein weiteres Problem angesprochen. Hier werden Stadtbereiche abgetrennt, Infrastruktur zerschnitten.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Bildung, Erziehung, Schule und Kita</w:t>
      </w:r>
    </w:p>
    <w:p w:rsidR="007A1EF5" w:rsidRPr="009B270B" w:rsidRDefault="007A1EF5" w:rsidP="009B270B">
      <w:pPr>
        <w:spacing w:line="360" w:lineRule="auto"/>
        <w:rPr>
          <w:rFonts w:ascii="Calibri" w:hAnsi="Calibri" w:cs="Arial"/>
        </w:rPr>
      </w:pPr>
      <w:r w:rsidRPr="009B270B">
        <w:rPr>
          <w:rFonts w:ascii="Calibri" w:hAnsi="Calibri" w:cs="Arial"/>
        </w:rPr>
        <w:t xml:space="preserve">Bildung ist der Schlüssel für ein selbstbestimmtes und erfolgreiches Leben. Zu diesen Handlungsfeldern haben die Teilnehmenden den stärksten Input gegeben. </w:t>
      </w:r>
    </w:p>
    <w:p w:rsidR="007A1EF5" w:rsidRPr="009B270B" w:rsidRDefault="007A1EF5" w:rsidP="009B270B">
      <w:pPr>
        <w:spacing w:line="360" w:lineRule="auto"/>
        <w:rPr>
          <w:rFonts w:ascii="Calibri" w:hAnsi="Calibri" w:cs="Arial"/>
        </w:rPr>
      </w:pPr>
      <w:r w:rsidRPr="009B270B">
        <w:rPr>
          <w:rFonts w:ascii="Calibri" w:hAnsi="Calibri" w:cs="Arial"/>
        </w:rPr>
        <w:t xml:space="preserve">Gewünscht wird eine sogenannte „Gebundene OGS“. Wobei Zuschüsse zur OGS nicht nach dem Gieskannenprinzip erfolgen sollen. Auch soll der Mittagstisch beitragsfrei angeboten werden. </w:t>
      </w:r>
    </w:p>
    <w:p w:rsidR="007A1EF5" w:rsidRPr="009B270B" w:rsidRDefault="007A1EF5" w:rsidP="009B270B">
      <w:pPr>
        <w:spacing w:line="360" w:lineRule="auto"/>
        <w:rPr>
          <w:rFonts w:ascii="Calibri" w:hAnsi="Calibri" w:cs="Arial"/>
        </w:rPr>
      </w:pPr>
      <w:r w:rsidRPr="009B270B">
        <w:rPr>
          <w:rFonts w:ascii="Calibri" w:hAnsi="Calibri" w:cs="Arial"/>
        </w:rPr>
        <w:t>In der Schule sollte eine Betreuung besonders im Randbereich ausgebaut werden und in der Kita die U3-Betreuung massiv ausgebaut werden. In Verbindung mit Kita und Schule sind niedrigschwellige Angebote gerade für Alleinerziehende nötig. Gewünscht wird eine intensive individuelle Förderung der Kinder und Jugendlichen, insbesondere eine Sprachförderung</w:t>
      </w:r>
    </w:p>
    <w:p w:rsidR="007A1EF5" w:rsidRPr="009B270B" w:rsidRDefault="007A1EF5" w:rsidP="009B270B">
      <w:pPr>
        <w:spacing w:line="360" w:lineRule="auto"/>
        <w:rPr>
          <w:rFonts w:ascii="Calibri" w:hAnsi="Calibri" w:cs="Arial"/>
        </w:rPr>
      </w:pPr>
      <w:r w:rsidRPr="009B270B">
        <w:rPr>
          <w:rFonts w:ascii="Calibri" w:hAnsi="Calibri" w:cs="Arial"/>
        </w:rPr>
        <w:t>Angestrebt wird ferner die Steigerung des Humanvermögens durch Kompetenzvermittlung: Medien, Soziales, Alltags- und Lebensgestaltung, Gesundheit, Körperhygiene, Ehe, Partnerschaft und Erziehung.</w:t>
      </w:r>
    </w:p>
    <w:p w:rsidR="007A1EF5" w:rsidRPr="009B270B" w:rsidRDefault="007A1EF5" w:rsidP="009B270B">
      <w:pPr>
        <w:spacing w:line="360" w:lineRule="auto"/>
        <w:rPr>
          <w:rFonts w:ascii="Calibri" w:hAnsi="Calibri" w:cs="Arial"/>
        </w:rPr>
      </w:pPr>
      <w:r w:rsidRPr="009B270B">
        <w:rPr>
          <w:rFonts w:ascii="Calibri" w:hAnsi="Calibri" w:cs="Arial"/>
        </w:rPr>
        <w:t>Bezogen auf den Kompetenzerwerb der Kinder und Jugendlichen sind die folgenden konkreten Angebote gemacht worden: Angebot gebrauchter Bücher („Bonner Bücherschrank“ als Vorbild?), Vorlesepaten, die Begegnung der Kulturen beispielsweise in der Schule z.B. über Internetstunden.</w:t>
      </w:r>
    </w:p>
    <w:p w:rsidR="007A1EF5" w:rsidRPr="009B270B" w:rsidRDefault="007A1EF5" w:rsidP="009B270B">
      <w:pPr>
        <w:spacing w:line="360" w:lineRule="auto"/>
        <w:rPr>
          <w:rFonts w:ascii="Calibri" w:hAnsi="Calibri" w:cs="Arial"/>
        </w:rPr>
      </w:pPr>
      <w:r w:rsidRPr="009B270B">
        <w:rPr>
          <w:rFonts w:ascii="Calibri" w:hAnsi="Calibri" w:cs="Arial"/>
        </w:rPr>
        <w:t>Weitere Ideen sind etwa ein Erziehungsprogrammkino, die zweisprachige Alphabetisierung oder eine Sprachförderung schon vor dem Kindergarten. In diesem Zusammenhang wird auch die Sprachförderung für die Eltern angesprochen. Zusätzlich wird die Schaffung von Integrativen Bildungsangeboten (Migration, Behinderung) angeregt.</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r w:rsidRPr="009B270B">
        <w:rPr>
          <w:rFonts w:ascii="Calibri" w:hAnsi="Calibri" w:cs="Arial"/>
        </w:rPr>
        <w:t>Wichtig sind auch Bewegung und Freizeitaktivitäten. Kita’s und Schulen sollen für außerschulische Angebote geöffnet werden. Schulhöfe können als Bewegungsräume zur sportlichen Betätigung im Stadtteil dienen und so das Freizeitangebot für Kinder und Jugendliche verbessern. Zudem sollen verlässliche Ferienangebote gemacht werden.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rPr>
      </w:pPr>
      <w:r w:rsidRPr="009B270B">
        <w:rPr>
          <w:rFonts w:ascii="Calibri" w:hAnsi="Calibri" w:cs="Arial"/>
        </w:rPr>
        <w:t>Zentrales Anliegen ist es ferner, die Arbeit in Kita und Schule zu intensivieren und auf mehrere Schultern zu verteilen. Angeregt werden etwa Schulsozialarbeiter, auch als Muttersprachler, Schulpaten und Migrantenmütter als Hilfen in der Kita. Multikulturelle Fortbildungen für das Personal und entsprechende Projektwochen für die Kinder und Jugendlichen können weitere Aktivitäten für ein gelingendes Miteinander sein.</w:t>
      </w:r>
    </w:p>
    <w:p w:rsidR="007A1EF5" w:rsidRPr="009B270B" w:rsidRDefault="007A1EF5" w:rsidP="009B270B">
      <w:pPr>
        <w:spacing w:line="360" w:lineRule="auto"/>
        <w:rPr>
          <w:rFonts w:ascii="Calibri" w:hAnsi="Calibri" w:cs="Arial"/>
        </w:rPr>
      </w:pPr>
      <w:r w:rsidRPr="009B270B">
        <w:rPr>
          <w:rFonts w:ascii="Calibri" w:hAnsi="Calibri" w:cs="Arial"/>
        </w:rPr>
        <w:t>Es wird auf die nötige Vernetzung zwischen Kita und Grundschule hingewiesen. Hier können die Grundschulen von den Kita’s wertvolle Informationen zu den künftigen Schülerinnen und Schülern erhalten und die Kita’s können ihre Angebote noch besser auf die Erfordernisse an Grundschulen ausrichten.</w:t>
      </w:r>
    </w:p>
    <w:p w:rsidR="007A1EF5" w:rsidRPr="009B270B" w:rsidRDefault="007A1EF5" w:rsidP="009B270B">
      <w:pPr>
        <w:spacing w:line="360" w:lineRule="auto"/>
        <w:rPr>
          <w:rFonts w:ascii="Calibri" w:hAnsi="Calibri" w:cs="Arial"/>
        </w:rPr>
      </w:pPr>
      <w:r w:rsidRPr="009B270B">
        <w:rPr>
          <w:rFonts w:ascii="Calibri" w:hAnsi="Calibri" w:cs="Arial"/>
        </w:rPr>
        <w:t>Schnuppertage in den Kita’s sollten eine Selbstverständlichkeit sein und eine Quotenregelung in den Kita’s sollte ein frühes Miteinander der Kulturen ermöglichen.</w:t>
      </w:r>
    </w:p>
    <w:p w:rsidR="007A1EF5" w:rsidRPr="009B270B" w:rsidRDefault="007A1EF5" w:rsidP="009B270B">
      <w:pPr>
        <w:spacing w:line="360" w:lineRule="auto"/>
        <w:rPr>
          <w:rFonts w:ascii="Calibri" w:hAnsi="Calibri" w:cs="Arial"/>
        </w:rPr>
      </w:pPr>
      <w:r w:rsidRPr="009B270B">
        <w:rPr>
          <w:rFonts w:ascii="Calibri" w:hAnsi="Calibri" w:cs="Arial"/>
        </w:rPr>
        <w:t>Allgemein wird die Kita- und Schulzeit als Chance gesehen, die Eltern über die Ansprache der Kinder zu erreichen.</w:t>
      </w:r>
    </w:p>
    <w:p w:rsidR="007A1EF5" w:rsidRPr="009B270B" w:rsidRDefault="007A1EF5" w:rsidP="009B270B">
      <w:pPr>
        <w:spacing w:line="360" w:lineRule="auto"/>
        <w:rPr>
          <w:rFonts w:ascii="Calibri" w:hAnsi="Calibri" w:cs="Arial"/>
        </w:rPr>
      </w:pPr>
      <w:r w:rsidRPr="009B270B">
        <w:rPr>
          <w:rFonts w:ascii="Calibri" w:hAnsi="Calibri" w:cs="Arial"/>
        </w:rPr>
        <w:t>Ergänzend wird ein Bestandsschutz für außerschulische informelle Bildungsorte, sowie für die Kinder- und Jugendarbeit durch Verbände und Vereine angemahnt.</w:t>
      </w:r>
    </w:p>
    <w:p w:rsidR="007A1EF5" w:rsidRPr="009B270B" w:rsidRDefault="007A1EF5" w:rsidP="009B270B">
      <w:pPr>
        <w:spacing w:line="360" w:lineRule="auto"/>
        <w:rPr>
          <w:rFonts w:ascii="Calibri" w:hAnsi="Calibri" w:cs="Arial"/>
        </w:rPr>
      </w:pPr>
      <w:r w:rsidRPr="009B270B">
        <w:rPr>
          <w:rFonts w:ascii="Calibri" w:hAnsi="Calibri" w:cs="Arial"/>
        </w:rPr>
        <w:t>Abschließend sei der Hinweis auf lebenslanges Lernen gemacht, der von den Teilnehmenden kommt und die Kommune wie die Bevölkerung daran erinnern soll, dass hierfür Angebote vorgehalten werden sollen, die von der Bevölkerung angenommen werden sollen.</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Elternhilfen auch von und für Migranten</w:t>
      </w:r>
    </w:p>
    <w:p w:rsidR="007A1EF5" w:rsidRPr="009B270B" w:rsidRDefault="007A1EF5" w:rsidP="009B270B">
      <w:pPr>
        <w:spacing w:line="360" w:lineRule="auto"/>
        <w:rPr>
          <w:rFonts w:ascii="Calibri" w:hAnsi="Calibri" w:cs="Arial"/>
        </w:rPr>
      </w:pPr>
      <w:r w:rsidRPr="009B270B">
        <w:rPr>
          <w:rFonts w:ascii="Calibri" w:hAnsi="Calibri" w:cs="Arial"/>
        </w:rPr>
        <w:t>Insgesamt wird die Unterstützung von Familien und Alleinerziehenden in allen Lebenslagen gefordert. Mit der Schaffung einer „Geh-Struktur“ wird ein offensives Zugehen auf Eltern gefordert.</w:t>
      </w:r>
    </w:p>
    <w:p w:rsidR="007A1EF5" w:rsidRPr="009B270B" w:rsidRDefault="007A1EF5" w:rsidP="009B270B">
      <w:pPr>
        <w:spacing w:line="360" w:lineRule="auto"/>
        <w:rPr>
          <w:rFonts w:ascii="Calibri" w:hAnsi="Calibri" w:cs="Arial"/>
        </w:rPr>
      </w:pPr>
      <w:r w:rsidRPr="009B270B">
        <w:rPr>
          <w:rFonts w:ascii="Calibri" w:hAnsi="Calibri" w:cs="Arial"/>
        </w:rPr>
        <w:t xml:space="preserve">Familienzentren auf Stadtteilebene sollen zudem im Sinne einer „Komm-Struktur“ alle zentralen Angebote einschließlich psychologischer Betreuung für Kinder und Erwachsene vorhalten. </w:t>
      </w:r>
    </w:p>
    <w:p w:rsidR="007A1EF5" w:rsidRPr="009B270B" w:rsidRDefault="007A1EF5" w:rsidP="009B270B">
      <w:pPr>
        <w:spacing w:line="360" w:lineRule="auto"/>
        <w:rPr>
          <w:rFonts w:ascii="Calibri" w:hAnsi="Calibri" w:cs="Arial"/>
        </w:rPr>
      </w:pPr>
      <w:r w:rsidRPr="009B270B">
        <w:rPr>
          <w:rFonts w:ascii="Calibri" w:hAnsi="Calibri" w:cs="Arial"/>
        </w:rPr>
        <w:t xml:space="preserve">Eine Familienhebamme kann den Kontakt schon vor der Geburt, spätestens mit der Geburt herstellen. </w:t>
      </w:r>
    </w:p>
    <w:p w:rsidR="007A1EF5" w:rsidRPr="009B270B" w:rsidRDefault="007A1EF5" w:rsidP="009B270B">
      <w:pPr>
        <w:spacing w:line="360" w:lineRule="auto"/>
        <w:rPr>
          <w:rFonts w:ascii="Calibri" w:hAnsi="Calibri" w:cs="Arial"/>
        </w:rPr>
      </w:pPr>
      <w:r w:rsidRPr="009B270B">
        <w:rPr>
          <w:rFonts w:ascii="Calibri" w:hAnsi="Calibri" w:cs="Arial"/>
        </w:rPr>
        <w:t>Die Leihoma, mit und ohne Migrationsbiografie, kann Betreuungsleistungen übernehmen. Hier fehlen bislang Angebote.</w:t>
      </w:r>
    </w:p>
    <w:p w:rsidR="007A1EF5" w:rsidRPr="009B270B" w:rsidRDefault="007A1EF5" w:rsidP="009B270B">
      <w:pPr>
        <w:spacing w:line="360" w:lineRule="auto"/>
        <w:rPr>
          <w:rFonts w:ascii="Calibri" w:hAnsi="Calibri" w:cs="Arial"/>
        </w:rPr>
      </w:pPr>
      <w:r w:rsidRPr="009B270B">
        <w:rPr>
          <w:rFonts w:ascii="Calibri" w:hAnsi="Calibri" w:cs="Arial"/>
        </w:rPr>
        <w:t>Eltern mit Migrationsbiografie muss das Projekt MIMI besser bekannt gemacht werden. Hier und auch bei allen anderen Problemen gerade der Alltags- und Lebensbewältigung können muttersprachliche Angebote von qualifizierten Menschen mit Migrationsbiografie in den Stadtteilen hilfreich sein.</w:t>
      </w:r>
    </w:p>
    <w:p w:rsidR="007A1EF5" w:rsidRPr="009B270B" w:rsidRDefault="007A1EF5" w:rsidP="009B270B">
      <w:pPr>
        <w:spacing w:line="360" w:lineRule="auto"/>
        <w:rPr>
          <w:rFonts w:ascii="Calibri" w:hAnsi="Calibri" w:cs="Arial"/>
        </w:rPr>
      </w:pPr>
      <w:r w:rsidRPr="009B270B">
        <w:rPr>
          <w:rFonts w:ascii="Calibri" w:hAnsi="Calibri" w:cs="Arial"/>
        </w:rPr>
        <w:t xml:space="preserve">Hilfreich ist es sicher auch verstärkt, Mitarbeiterinnen und Mitarbeiter mit Migrationsbiografie einzustellen. </w:t>
      </w:r>
    </w:p>
    <w:p w:rsidR="007A1EF5" w:rsidRPr="009B270B" w:rsidRDefault="007A1EF5" w:rsidP="009B270B">
      <w:pPr>
        <w:spacing w:line="360" w:lineRule="auto"/>
        <w:rPr>
          <w:rFonts w:ascii="Calibri" w:hAnsi="Calibri" w:cs="Arial"/>
        </w:rPr>
      </w:pPr>
      <w:r w:rsidRPr="009B270B">
        <w:rPr>
          <w:rFonts w:ascii="Calibri" w:hAnsi="Calibri" w:cs="Arial"/>
        </w:rPr>
        <w:t>Als besonders sinnvoll wird abschließend die Kooperation mit Migrantenorganisationen erachtet.</w:t>
      </w:r>
    </w:p>
    <w:p w:rsidR="007A1EF5" w:rsidRPr="009B270B" w:rsidRDefault="007A1EF5" w:rsidP="009B270B">
      <w:pPr>
        <w:spacing w:line="360" w:lineRule="auto"/>
        <w:rPr>
          <w:rFonts w:ascii="Calibri" w:hAnsi="Calibri" w:cs="Arial"/>
        </w:rPr>
      </w:pPr>
    </w:p>
    <w:p w:rsidR="007A1EF5" w:rsidRPr="009B270B" w:rsidRDefault="007A1EF5" w:rsidP="009B270B">
      <w:pPr>
        <w:spacing w:line="360" w:lineRule="auto"/>
        <w:rPr>
          <w:rFonts w:ascii="Calibri" w:hAnsi="Calibri" w:cs="Arial"/>
          <w:b/>
        </w:rPr>
      </w:pPr>
      <w:r w:rsidRPr="009B270B">
        <w:rPr>
          <w:rFonts w:ascii="Calibri" w:hAnsi="Calibri" w:cs="Arial"/>
          <w:b/>
        </w:rPr>
        <w:t>Ausbildung, Arbeitssuche und Erwerbstätigkeit</w:t>
      </w:r>
    </w:p>
    <w:p w:rsidR="007A1EF5" w:rsidRPr="009B270B" w:rsidRDefault="007A1EF5" w:rsidP="009B270B">
      <w:pPr>
        <w:spacing w:line="360" w:lineRule="auto"/>
        <w:rPr>
          <w:rFonts w:ascii="Calibri" w:hAnsi="Calibri" w:cs="Arial"/>
        </w:rPr>
      </w:pPr>
      <w:r w:rsidRPr="009B270B">
        <w:rPr>
          <w:rFonts w:ascii="Calibri" w:hAnsi="Calibri" w:cs="Arial"/>
        </w:rPr>
        <w:t>Übergänge zwischen Schule, Ausbildung und Beruf werden als problematisch angesehen. Es werden Patenschaften für Schulabgänger sowie Berufseinstiegspatenschaften angeregt. Arbeitgeber und Arbeitssuchende sollen zusammengeführt werden. Es werden Praktika im Quartier gewünscht, ebenso Qualifizierungsangebote und Vorbereitungsangebote auf Berufsausbildung und Berufsausübung. Allerdings wird gerade bei den Praktika das Problem gesehen, dass diese statt einer Ausbildung angeboten werden, weil dies für die Unternehmen finanziell günstiger ist.</w:t>
      </w:r>
    </w:p>
    <w:p w:rsidR="007A1EF5" w:rsidRPr="009B270B" w:rsidRDefault="007A1EF5" w:rsidP="009B270B">
      <w:pPr>
        <w:spacing w:line="360" w:lineRule="auto"/>
        <w:rPr>
          <w:rFonts w:ascii="Calibri" w:hAnsi="Calibri" w:cs="Arial"/>
        </w:rPr>
      </w:pPr>
      <w:r w:rsidRPr="009B270B">
        <w:rPr>
          <w:rFonts w:ascii="Calibri" w:hAnsi="Calibri" w:cs="Arial"/>
        </w:rPr>
        <w:t>Eine gezielte Wirtschaftsförderung soll die lokale und ethnische Ökonomie in den Stadtteilen konkret unterstützen.</w:t>
      </w:r>
    </w:p>
    <w:p w:rsidR="007A1EF5" w:rsidRPr="009B270B" w:rsidRDefault="007A1EF5" w:rsidP="009B270B">
      <w:pPr>
        <w:spacing w:line="360" w:lineRule="auto"/>
        <w:rPr>
          <w:rFonts w:ascii="Calibri" w:hAnsi="Calibri" w:cs="Arial"/>
        </w:rPr>
      </w:pPr>
      <w:r w:rsidRPr="009B270B">
        <w:rPr>
          <w:rFonts w:ascii="Calibri" w:hAnsi="Calibri" w:cs="Arial"/>
        </w:rPr>
        <w:t xml:space="preserve"> Von der AGL wird abschließend niedrigschwellige Angebote erwartet.</w:t>
      </w:r>
    </w:p>
    <w:p w:rsidR="007A1EF5" w:rsidRPr="009B270B" w:rsidRDefault="007A1EF5" w:rsidP="009B270B">
      <w:pPr>
        <w:spacing w:line="360" w:lineRule="auto"/>
        <w:rPr>
          <w:rFonts w:ascii="Calibri" w:hAnsi="Calibri" w:cs="Arial"/>
          <w:b/>
        </w:rPr>
      </w:pPr>
    </w:p>
    <w:p w:rsidR="007A1EF5" w:rsidRPr="009B270B" w:rsidRDefault="007A1EF5" w:rsidP="009B270B">
      <w:pPr>
        <w:spacing w:line="360" w:lineRule="auto"/>
        <w:rPr>
          <w:rFonts w:ascii="Calibri" w:hAnsi="Calibri" w:cs="Arial"/>
          <w:b/>
        </w:rPr>
      </w:pPr>
    </w:p>
    <w:p w:rsidR="007A1EF5" w:rsidRPr="009B270B" w:rsidRDefault="007A1EF5" w:rsidP="009B270B">
      <w:pPr>
        <w:spacing w:line="360" w:lineRule="auto"/>
        <w:rPr>
          <w:rFonts w:ascii="Calibri" w:hAnsi="Calibri" w:cs="Arial"/>
          <w:b/>
        </w:rPr>
      </w:pPr>
      <w:r w:rsidRPr="009B270B">
        <w:rPr>
          <w:rFonts w:ascii="Calibri" w:hAnsi="Calibri" w:cs="Arial"/>
          <w:b/>
        </w:rPr>
        <w:t>Besondere Probleme</w:t>
      </w:r>
    </w:p>
    <w:p w:rsidR="007A1EF5" w:rsidRPr="009B270B" w:rsidRDefault="007A1EF5" w:rsidP="009B270B">
      <w:pPr>
        <w:spacing w:line="360" w:lineRule="auto"/>
        <w:rPr>
          <w:rFonts w:ascii="Calibri" w:hAnsi="Calibri" w:cs="Arial"/>
        </w:rPr>
      </w:pPr>
      <w:r w:rsidRPr="009B270B">
        <w:rPr>
          <w:rFonts w:ascii="Calibri" w:hAnsi="Calibri" w:cs="Arial"/>
        </w:rPr>
        <w:t>Schuldnerberatung: Problem Wartezeiten</w:t>
      </w:r>
    </w:p>
    <w:p w:rsidR="007A1EF5" w:rsidRPr="009B270B" w:rsidRDefault="007A1EF5" w:rsidP="009B270B">
      <w:pPr>
        <w:spacing w:line="360" w:lineRule="auto"/>
        <w:rPr>
          <w:rFonts w:ascii="Calibri" w:hAnsi="Calibri" w:cs="Arial"/>
        </w:rPr>
      </w:pPr>
      <w:r w:rsidRPr="009B270B">
        <w:rPr>
          <w:rFonts w:ascii="Calibri" w:hAnsi="Calibri" w:cs="Arial"/>
        </w:rPr>
        <w:t>Leverkusen-Pass wieder einführen</w:t>
      </w:r>
    </w:p>
    <w:p w:rsidR="007A1EF5" w:rsidRPr="009B270B" w:rsidRDefault="007A1EF5" w:rsidP="009B270B">
      <w:pPr>
        <w:spacing w:line="360" w:lineRule="auto"/>
        <w:rPr>
          <w:rFonts w:ascii="Calibri" w:hAnsi="Calibri" w:cs="Arial"/>
        </w:rPr>
      </w:pPr>
      <w:r w:rsidRPr="009B270B">
        <w:rPr>
          <w:rFonts w:ascii="Calibri" w:hAnsi="Calibri" w:cs="Arial"/>
        </w:rPr>
        <w:t>Überweisung der Miete durch die ARGE als Problem. Stichwort Mietsicherung</w:t>
      </w:r>
    </w:p>
    <w:p w:rsidR="007A1EF5" w:rsidRPr="009B270B" w:rsidRDefault="007A1EF5" w:rsidP="009B270B">
      <w:pPr>
        <w:spacing w:line="360" w:lineRule="auto"/>
        <w:rPr>
          <w:rFonts w:ascii="Calibri" w:hAnsi="Calibri" w:cs="Arial"/>
        </w:rPr>
      </w:pPr>
      <w:r w:rsidRPr="009B270B">
        <w:rPr>
          <w:rFonts w:ascii="Calibri" w:hAnsi="Calibri" w:cs="Arial"/>
        </w:rPr>
        <w:t>„Tafeltag = Bustag“ als Konzept</w:t>
      </w:r>
    </w:p>
    <w:p w:rsidR="007A1EF5" w:rsidRPr="009B270B" w:rsidRDefault="007A1EF5" w:rsidP="009B270B">
      <w:pPr>
        <w:spacing w:line="360" w:lineRule="auto"/>
        <w:rPr>
          <w:rFonts w:ascii="Calibri" w:hAnsi="Calibri" w:cs="Arial"/>
        </w:rPr>
      </w:pPr>
      <w:r w:rsidRPr="009B270B">
        <w:rPr>
          <w:rFonts w:ascii="Calibri" w:hAnsi="Calibri" w:cs="Arial"/>
        </w:rPr>
        <w:t>Revisionsprozess im Programm Soziale Stadt muss initiiert werden.</w:t>
      </w:r>
    </w:p>
    <w:p w:rsidR="007A1EF5" w:rsidRDefault="007A1EF5">
      <w:pPr>
        <w:spacing w:line="360" w:lineRule="auto"/>
        <w:rPr>
          <w:rFonts w:ascii="Calibri" w:hAnsi="Calibri" w:cs="Arial"/>
        </w:rPr>
      </w:pPr>
    </w:p>
    <w:p w:rsidR="007A1EF5" w:rsidRDefault="007A1EF5">
      <w:pPr>
        <w:spacing w:line="360" w:lineRule="auto"/>
        <w:outlineLvl w:val="0"/>
        <w:rPr>
          <w:rFonts w:ascii="Calibri" w:hAnsi="Calibri" w:cs="Arial"/>
          <w:sz w:val="28"/>
          <w:szCs w:val="28"/>
        </w:rPr>
      </w:pPr>
      <w:bookmarkStart w:id="71" w:name="_Toc205633910"/>
      <w:r>
        <w:rPr>
          <w:rFonts w:ascii="Calibri" w:hAnsi="Calibri" w:cs="Arial"/>
          <w:sz w:val="28"/>
          <w:szCs w:val="28"/>
        </w:rPr>
        <w:br w:type="page"/>
      </w:r>
    </w:p>
    <w:p w:rsidR="007A1EF5" w:rsidRDefault="007A1EF5">
      <w:pPr>
        <w:spacing w:line="360" w:lineRule="auto"/>
        <w:outlineLvl w:val="0"/>
        <w:rPr>
          <w:rFonts w:ascii="Calibri" w:hAnsi="Calibri" w:cs="Arial"/>
          <w:sz w:val="28"/>
          <w:szCs w:val="28"/>
        </w:rPr>
      </w:pPr>
      <w:r>
        <w:rPr>
          <w:rFonts w:ascii="Calibri" w:hAnsi="Calibri" w:cs="Arial"/>
          <w:sz w:val="28"/>
          <w:szCs w:val="28"/>
        </w:rPr>
        <w:t>Anhang:</w:t>
      </w:r>
    </w:p>
    <w:p w:rsidR="007A1EF5" w:rsidRDefault="007A1EF5">
      <w:pPr>
        <w:spacing w:line="360" w:lineRule="auto"/>
        <w:outlineLvl w:val="0"/>
        <w:rPr>
          <w:rFonts w:ascii="Calibri" w:hAnsi="Calibri" w:cs="Arial"/>
          <w:sz w:val="28"/>
          <w:szCs w:val="28"/>
        </w:rPr>
      </w:pPr>
      <w:r>
        <w:rPr>
          <w:rFonts w:ascii="Calibri" w:hAnsi="Calibri" w:cs="Arial"/>
          <w:sz w:val="28"/>
          <w:szCs w:val="28"/>
        </w:rPr>
        <w:t>Quellenverzeichnis und Literatur</w:t>
      </w:r>
      <w:bookmarkEnd w:id="71"/>
      <w:r>
        <w:rPr>
          <w:rFonts w:ascii="Calibri" w:hAnsi="Calibri" w:cs="Arial"/>
          <w:sz w:val="28"/>
          <w:szCs w:val="28"/>
        </w:rPr>
        <w:t>empfehlungen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Autorengruppe Bildungsberichterstattung (Hrsg.) (2008): Bildung in Deutschland 2008. Ein indikatorengestützter Bericht mit einer Analyse zu Übergängen im Anschluss an den Sekundarbereich I, Im Auftrag der Ständigen Konferenz der Kultusminister der Länder in der Bundesrepublik Deutschland und des Bundesministeriums für Forschung und Bildung, Bielefeld.</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Bartelheimer, Peter/Kersting, Volker (2005): Expertise zur Neukonzeptionierung der Sozialberichterstattung des Landes NRW, Bochum/Göttingen.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Berlin-Institut für Bevölkerung und Entwicklung (2009): Ungenutzte Potenziale. Zur Lage der Integration in Deutschland, Berlin.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Bundesagentur für Arbeit (2009): Arbeitsmarkt in Zahlen, Report für Kreise und kreisfreie Städte: Leverkusen, Berichtsmonat Dezember 2008, Nürnberg.</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Bundesagentur für Arbeit (2008): Arbeitsmarkt in Zahlen, Report für Kreise und kreisfreie Städte: Leverkusen, Berichtsmonat Dezember 2007, Nürnberg.</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 xml:space="preserve">Bundesagentur für Arbeit (2007): </w:t>
      </w:r>
      <w:r>
        <w:rPr>
          <w:rFonts w:ascii="Calibri" w:hAnsi="Calibri" w:cs="Arial"/>
          <w:color w:val="000000"/>
        </w:rPr>
        <w:t>Arbeitsmarktatlas für die Kommunen im Bezirk der Agentur für Arbeit Bergisch Gladbach, Kommunaldatenblatt für Leverkusen, 2007.</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Bundeszentrale für politische Bildung (2008): Die soziale Situation in Deutschland (Zahlen und Fakten), CD-ROM, Bonn.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Gemeindeprüfungsanstalt Nordrhein-Westfalen (2009): Überörtliche Prüfung der Stadt Leverkusen in den Jahren 2007 bis 2008. Abschlussbericht, Herne.</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Häußermann, Hartmut u.a. (2004): An den Rändern der Städte. Armut und Ausgrenzung, Frankfurt am Main: Suhrkamp Verlag.</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Heinz, Werner (2008): Der große Umbruch. Deutsche Städte und Globalisierung, Berlin: Deutsches Institut für Urbanistik.</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Industrie- und Handelskammer zu Köln (2009): Sonnenaufgang oder Wetterleuchten? Konjunkturbericht Herbst 2009, Köln.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Kapphan, Andreas u.a. (2002): Sozialräumliche Segregation in der Stadt. Literaturbericht, München: Deutsches Jugendinstitut e.V.</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Kommunale Gemeinschaftsstelle für Verwaltungsmanagement (KGSt) (2009): Sozialmonitoring (Materialien), Köln.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Landesamt für Datenverarbeitung und Statistik Nordrhein-Westfalen (2008): Bildungsreport Nordrhein-Westfalen 2008, Düsseldorf.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Lutz, Ronald u.a. (2009): Integrierte Sozialraumplanung. Vorstellung eines Modells veränderter kommunaler Praxis, Oldenburg: Paulo Freire Verlag.</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Meier-Gräwe, Uta (2008): Armut und Bildung, Präsentation am 30. Juni 2008 in Essen (Fachtagung der Universität Duisburg/Essen „Armut und Soziale Teilhabe unter räumlicher Perspektive“).</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Ministerium für Arbeit, Gesundheit und Soziales des Landes Nordrhein-Westfalen (MAGS) (Hrsg.) (2009): Arbeitsmarktreport NRW. 4. Quartalsbericht Dezember 2008, Düsseldorf.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Ministerium für Arbeit, Gesundheit und Soziales des Landes Nordrhein-Westfalen (MAGS) (Hrsg.) (2007): Sozialbericht 2007, Armuts- und Reichtumsbericht, Düsseldorf.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Ministerium für Arbeit, Gesundheit und Soziales des Landes Nordrhein-Westfalen (MAGS) (Hrsg.) (2008): Sonderbericht. Arbeitsmarktreport NRW 2008. Migrantinnen und Migranten auf dem Arbeitsmarkt, Düsseldorf.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Ministerium für Generationen, Familie, Frauen und Integration des Landes Nordrhein-Westfalen (MGFFI) (Hrsg.) (2008): Nordrhein-Westfalen: Land der neuen Integrationschancen. 1. Integrationsbericht der Landesregierung, Düsseldorf.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Ministerium für Generationen, Familie, Frauen und Integration des Landes Nordrhein-Westfalen (MGFFI) (Hrsg.) (2007): Zuwanderungsstatistik Nordrhein-Westfalen. Zahlenspiegel Ausgabe 2006, Düsseldorf.</w: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Präsident des Landtags Nordrhein-Westfalen (2004): Zukunft der Städte. Bericht der Enquete-Kommission des Landtags von Nordrhein-Westfalen, Düsseldorf.</w:t>
      </w:r>
    </w:p>
    <w:p w:rsidR="007A1EF5" w:rsidRDefault="007A1EF5">
      <w:pPr>
        <w:spacing w:line="360" w:lineRule="auto"/>
        <w:jc w:val="both"/>
        <w:outlineLvl w:val="1"/>
        <w:rPr>
          <w:rFonts w:ascii="Calibri" w:hAnsi="Calibri" w:cs="Arial"/>
        </w:rPr>
      </w:pPr>
    </w:p>
    <w:p w:rsidR="007A1EF5" w:rsidRDefault="007A1EF5">
      <w:pPr>
        <w:spacing w:line="360" w:lineRule="auto"/>
        <w:jc w:val="both"/>
        <w:outlineLvl w:val="1"/>
        <w:rPr>
          <w:rFonts w:ascii="Calibri" w:hAnsi="Calibri" w:cs="Arial"/>
        </w:rPr>
      </w:pPr>
      <w:r>
        <w:rPr>
          <w:rFonts w:ascii="Calibri" w:hAnsi="Calibri" w:cs="Arial"/>
        </w:rPr>
        <w:t>Stadt Leverkusen, Der Oberbürgermeister (2009): Berichte zur Stadtforschung, Heft 71: Einkommensverhältnisse und Einkommenssteuer in Leverkusen 2004, Leverkusen.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Stadt Leverkusen, Der Oberbürgermeister (2009): Leverkusener Finanzen. Zahlen - Grafiken - Fakten 2009, Leverkusen.</w:t>
      </w: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r>
        <w:rPr>
          <w:rFonts w:ascii="Calibri" w:hAnsi="Calibri" w:cs="Arial"/>
        </w:rPr>
        <w:t>Stadt Leverkusen, Der Oberbürgermeister (2009): Statistische Kurzberichte - Die Bevölkerungsentwicklung in Leverkusen 1998 bis 2008, Leverkusen.</w:t>
      </w: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r>
        <w:rPr>
          <w:rFonts w:ascii="Calibri" w:hAnsi="Calibri" w:cs="Arial"/>
        </w:rPr>
        <w:t>Stadt Leverkusen, Der Oberbürgermeister (2008): Statistisches Jahrbuch 2007, Leverkusen.</w:t>
      </w:r>
    </w:p>
    <w:p w:rsidR="007A1EF5" w:rsidRDefault="007A1EF5">
      <w:pPr>
        <w:spacing w:line="360" w:lineRule="auto"/>
        <w:outlineLvl w:val="1"/>
        <w:rPr>
          <w:rFonts w:ascii="Calibri" w:hAnsi="Calibri" w:cs="Arial"/>
        </w:rPr>
      </w:pPr>
    </w:p>
    <w:p w:rsidR="007A1EF5" w:rsidRDefault="007A1EF5">
      <w:pPr>
        <w:spacing w:line="360" w:lineRule="auto"/>
        <w:outlineLvl w:val="1"/>
        <w:rPr>
          <w:rFonts w:ascii="Calibri" w:hAnsi="Calibri" w:cs="Arial"/>
        </w:rPr>
      </w:pPr>
      <w:r>
        <w:rPr>
          <w:rFonts w:ascii="Calibri" w:hAnsi="Calibri" w:cs="Arial"/>
        </w:rPr>
        <w:t>Stadt Leverkusen, Der Oberbürgermeister (2008): Leverkusener Wohnungsmarktbericht 2008. Kommunale Wohnungsmarktbeobachtung, Leverkusen.</w:t>
      </w:r>
    </w:p>
    <w:p w:rsidR="007A1EF5" w:rsidRDefault="007A1EF5">
      <w:pPr>
        <w:spacing w:line="360" w:lineRule="auto"/>
        <w:outlineLvl w:val="0"/>
        <w:rPr>
          <w:rFonts w:ascii="Calibri" w:hAnsi="Calibri" w:cs="Arial"/>
        </w:rPr>
      </w:pPr>
    </w:p>
    <w:p w:rsidR="007A1EF5" w:rsidRDefault="007A1EF5">
      <w:pPr>
        <w:spacing w:line="360" w:lineRule="auto"/>
        <w:rPr>
          <w:rFonts w:ascii="Calibri" w:hAnsi="Calibri" w:cs="Arial"/>
        </w:rPr>
      </w:pPr>
      <w:r>
        <w:rPr>
          <w:rFonts w:ascii="Calibri" w:hAnsi="Calibri" w:cs="Arial"/>
        </w:rPr>
        <w:t>Stadt Leverkusen, Der Oberbürgermeister (2008): Handlungsprogramm Zukunft Wohnen, Leverkusen.</w:t>
      </w:r>
    </w:p>
    <w:p w:rsidR="007A1EF5" w:rsidRDefault="007A1EF5">
      <w:pPr>
        <w:spacing w:line="360" w:lineRule="auto"/>
        <w:outlineLvl w:val="0"/>
        <w:rPr>
          <w:rFonts w:ascii="Calibri" w:hAnsi="Calibri" w:cs="Arial"/>
        </w:rPr>
      </w:pPr>
    </w:p>
    <w:p w:rsidR="007A1EF5" w:rsidRDefault="007A1EF5">
      <w:pPr>
        <w:spacing w:line="360" w:lineRule="auto"/>
        <w:rPr>
          <w:rFonts w:ascii="Calibri" w:hAnsi="Calibri" w:cs="Arial"/>
        </w:rPr>
      </w:pPr>
      <w:r>
        <w:rPr>
          <w:rFonts w:ascii="Calibri" w:hAnsi="Calibri" w:cs="Arial"/>
        </w:rPr>
        <w:t>Stadt Leverkusen, Der Oberbürgermeister (2007): Gesundheit von Kindern und Jugendlichen in Leverkusen. Darstellung der gesundheitlichen Daten der Einschulkinder (Einschuluntersuchung 2002, 2004, 2006) und Realisierungsstand der beschlossenen Maßnahmen von 2003, Leverkusen.</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Stadt Leverkusen, Der Oberbürgermeister (2002): Sozialbericht 2002, Leverkusen.</w:t>
      </w:r>
    </w:p>
    <w:p w:rsidR="007A1EF5" w:rsidRDefault="007A1EF5">
      <w:pPr>
        <w:spacing w:line="360" w:lineRule="auto"/>
        <w:jc w:val="both"/>
        <w:outlineLvl w:val="1"/>
        <w:rPr>
          <w:rFonts w:ascii="Calibri" w:hAnsi="Calibri" w:cs="Arial"/>
        </w:rPr>
      </w:pPr>
    </w:p>
    <w:p w:rsidR="007A1EF5" w:rsidRDefault="007A1EF5">
      <w:pPr>
        <w:spacing w:line="360" w:lineRule="auto"/>
        <w:outlineLvl w:val="0"/>
        <w:rPr>
          <w:rFonts w:ascii="Calibri" w:hAnsi="Calibri" w:cs="Arial"/>
        </w:rPr>
      </w:pPr>
      <w:r>
        <w:rPr>
          <w:rFonts w:ascii="Calibri" w:hAnsi="Calibri" w:cs="Arial"/>
        </w:rPr>
        <w:t>Strohmeier, Klaus Peter (2006): Segregierte Armut in den Städten – Strategien sozial integrativer lokaler Politik, in: Bertelsmann Stiftung (Hrsg.): Demographie konkret - Handlungsansätze für die kommunale Praxis, Gütersloh, S. 17 ff.</w:t>
      </w:r>
    </w:p>
    <w:p w:rsidR="007A1EF5" w:rsidRDefault="007A1EF5">
      <w:pPr>
        <w:spacing w:line="360" w:lineRule="auto"/>
        <w:outlineLvl w:val="0"/>
        <w:rPr>
          <w:rFonts w:ascii="Calibri" w:hAnsi="Calibri" w:cs="Arial"/>
        </w:rPr>
      </w:pPr>
    </w:p>
    <w:p w:rsidR="007A1EF5" w:rsidRDefault="007A1EF5">
      <w:pPr>
        <w:spacing w:line="360" w:lineRule="auto"/>
        <w:outlineLvl w:val="0"/>
        <w:rPr>
          <w:rFonts w:ascii="Calibri" w:hAnsi="Calibri" w:cs="Arial"/>
        </w:rPr>
      </w:pPr>
      <w:r>
        <w:rPr>
          <w:rFonts w:ascii="Calibri" w:hAnsi="Calibri" w:cs="Arial"/>
        </w:rPr>
        <w:t>Wirtschaftsförderung Leverkusen GmbH (2009): Zehn Jahre WfL. Tätigkeitsbericht 2008, Leverkusen.</w:t>
      </w:r>
    </w:p>
    <w:sectPr w:rsidR="007A1EF5" w:rsidSect="00574F96">
      <w:headerReference w:type="default" r:id="rId85"/>
      <w:footerReference w:type="even" r:id="rId86"/>
      <w:footerReference w:type="default" r:id="rId87"/>
      <w:footerReference w:type="first" r:id="rId88"/>
      <w:pgSz w:w="11906" w:h="16838" w:code="9"/>
      <w:pgMar w:top="1559" w:right="1418" w:bottom="1134" w:left="1418" w:header="720" w:footer="720" w:gutter="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A1EF5" w:rsidRDefault="007A1EF5">
      <w:r>
        <w:separator/>
      </w:r>
    </w:p>
  </w:endnote>
  <w:endnote w:type="continuationSeparator" w:id="1">
    <w:p w:rsidR="007A1EF5" w:rsidRDefault="007A1EF5">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Wingdings 3">
    <w:panose1 w:val="05040102010807070707"/>
    <w:charset w:val="02"/>
    <w:family w:val="roman"/>
    <w:pitch w:val="variable"/>
    <w:sig w:usb0="00000000" w:usb1="10000000" w:usb2="00000000" w:usb3="00000000" w:csb0="80000000"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pitch w:val="variable"/>
    <w:sig w:usb0="61002A87" w:usb1="80000000" w:usb2="00000008" w:usb3="00000000" w:csb0="000101FF" w:csb1="00000000"/>
  </w:font>
  <w:font w:name="Helvetica">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EF5" w:rsidRDefault="007A1EF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7A1EF5" w:rsidRDefault="007A1EF5">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EF5" w:rsidRDefault="007A1EF5">
    <w:pPr>
      <w:pStyle w:val="Footer"/>
      <w:framePr w:wrap="around" w:vAnchor="text" w:hAnchor="margin" w:xAlign="center" w:y="1"/>
      <w:rPr>
        <w:rStyle w:val="PageNumber"/>
        <w:rFonts w:ascii="Calibri" w:hAnsi="Calibri" w:cs="Arial"/>
      </w:rPr>
    </w:pPr>
    <w:r>
      <w:rPr>
        <w:rStyle w:val="PageNumber"/>
        <w:rFonts w:ascii="Calibri" w:hAnsi="Calibri" w:cs="Arial"/>
      </w:rPr>
      <w:fldChar w:fldCharType="begin"/>
    </w:r>
    <w:r>
      <w:rPr>
        <w:rStyle w:val="PageNumber"/>
        <w:rFonts w:ascii="Calibri" w:hAnsi="Calibri" w:cs="Arial"/>
      </w:rPr>
      <w:instrText xml:space="preserve">PAGE  </w:instrText>
    </w:r>
    <w:r>
      <w:rPr>
        <w:rStyle w:val="PageNumber"/>
        <w:rFonts w:ascii="Calibri" w:hAnsi="Calibri" w:cs="Arial"/>
      </w:rPr>
      <w:fldChar w:fldCharType="separate"/>
    </w:r>
    <w:r>
      <w:rPr>
        <w:rStyle w:val="PageNumber"/>
        <w:rFonts w:ascii="Calibri" w:hAnsi="Calibri" w:cs="Arial"/>
        <w:noProof/>
      </w:rPr>
      <w:t>85</w:t>
    </w:r>
    <w:r>
      <w:rPr>
        <w:rStyle w:val="PageNumber"/>
        <w:rFonts w:ascii="Calibri" w:hAnsi="Calibri" w:cs="Arial"/>
      </w:rPr>
      <w:fldChar w:fldCharType="end"/>
    </w:r>
  </w:p>
  <w:p w:rsidR="007A1EF5" w:rsidRDefault="007A1EF5">
    <w:pPr>
      <w:pStyle w:val="Footer"/>
      <w:pBdr>
        <w:top w:val="single" w:sz="4" w:space="1" w:color="auto"/>
      </w:pBd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EF5" w:rsidRDefault="007A1EF5">
    <w:pPr>
      <w:pStyle w:val="Footer"/>
      <w:jc w:val="right"/>
    </w:pPr>
    <w:r>
      <w:fldChar w:fldCharType="begin"/>
    </w:r>
    <w:r>
      <w:instrText xml:space="preserve"> IF </w:instrText>
    </w:r>
    <w:r>
      <w:rPr>
        <w:rStyle w:val="PageNumber"/>
      </w:rPr>
      <w:fldChar w:fldCharType="begin"/>
    </w:r>
    <w:r>
      <w:rPr>
        <w:rStyle w:val="PageNumber"/>
      </w:rPr>
      <w:instrText xml:space="preserve"> PAGE </w:instrText>
    </w:r>
    <w:r>
      <w:rPr>
        <w:rStyle w:val="PageNumber"/>
      </w:rPr>
      <w:fldChar w:fldCharType="separate"/>
    </w:r>
    <w:r>
      <w:rPr>
        <w:rStyle w:val="PageNumber"/>
        <w:noProof/>
      </w:rPr>
      <w:instrText>1</w:instrText>
    </w:r>
    <w:r>
      <w:rPr>
        <w:rStyle w:val="PageNumber"/>
      </w:rPr>
      <w:fldChar w:fldCharType="end"/>
    </w:r>
    <w:r>
      <w:rPr>
        <w:rStyle w:val="PageNumber"/>
      </w:rPr>
      <w:instrText>&lt;</w:instrText>
    </w:r>
    <w:r>
      <w:rPr>
        <w:rStyle w:val="PageNumber"/>
      </w:rPr>
      <w:fldChar w:fldCharType="begin"/>
    </w:r>
    <w:r>
      <w:rPr>
        <w:rStyle w:val="PageNumber"/>
      </w:rPr>
      <w:instrText xml:space="preserve"> NUMPAGES </w:instrText>
    </w:r>
    <w:r>
      <w:rPr>
        <w:rStyle w:val="PageNumber"/>
      </w:rPr>
      <w:fldChar w:fldCharType="separate"/>
    </w:r>
    <w:r>
      <w:rPr>
        <w:rStyle w:val="PageNumber"/>
        <w:noProof/>
      </w:rPr>
      <w:instrText>99</w:instrText>
    </w:r>
    <w:r>
      <w:rPr>
        <w:rStyle w:val="PageNumber"/>
      </w:rPr>
      <w:fldChar w:fldCharType="end"/>
    </w:r>
    <w:r>
      <w:instrText xml:space="preserve">"..." \* MERGEFORMAT </w:instrText>
    </w:r>
    <w:r>
      <w:fldChar w:fldCharType="separate"/>
    </w:r>
    <w:r>
      <w:rPr>
        <w:noProof/>
      </w:rPr>
      <w:t>...</w:t>
    </w:r>
    <w: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A1EF5" w:rsidRDefault="007A1EF5">
      <w:r>
        <w:separator/>
      </w:r>
    </w:p>
  </w:footnote>
  <w:footnote w:type="continuationSeparator" w:id="1">
    <w:p w:rsidR="007A1EF5" w:rsidRDefault="007A1EF5">
      <w:r>
        <w:continuationSeparator/>
      </w:r>
    </w:p>
  </w:footnote>
  <w:footnote w:id="2">
    <w:p w:rsidR="007A1EF5" w:rsidRDefault="007A1EF5">
      <w:pPr>
        <w:pStyle w:val="FootnoteText"/>
      </w:pPr>
      <w:r>
        <w:rPr>
          <w:rStyle w:val="FootnoteReference"/>
        </w:rPr>
        <w:footnoteRef/>
      </w:r>
      <w:r>
        <w:t xml:space="preserve"> Dieser ist das erste Messinstrument, welches geschlechtspezifische Daten auf regionaler Ebene zur Verfügung stellt, und die Lebenssituation von Frauen und Männern anhand bestimmter Indikatoren (1.Arbeit und Beschäftigung 2. Qualifikation der Beschäftigten 3. Arbeitslosigkeit 4. Qualifikation der Arbeitslosen 5. Arbeitsmarktpolitik 6. Einkommen 7. Betreuungsinfrastruktur 8) widerspiegelt.</w:t>
      </w:r>
    </w:p>
  </w:footnote>
  <w:footnote w:id="3">
    <w:p w:rsidR="007A1EF5" w:rsidRDefault="007A1EF5">
      <w:pPr>
        <w:pStyle w:val="FootnoteText"/>
      </w:pPr>
      <w:r>
        <w:rPr>
          <w:rStyle w:val="FootnoteReference"/>
        </w:rPr>
        <w:footnoteRef/>
      </w:r>
      <w:r>
        <w:t xml:space="preserve"> Vgl. hierzu auch den Vortrag von Maier, F. : "Hauptsache Arbeit? - Strategien zur Erhöhung der Erwerbsbeteiligung von Frauen". Verfügbar auf der Internetpräsenz des GenderKompetenzZentrums</w:t>
      </w:r>
    </w:p>
  </w:footnote>
  <w:footnote w:id="4">
    <w:p w:rsidR="007A1EF5" w:rsidRDefault="007A1EF5">
      <w:pPr>
        <w:pStyle w:val="FootnoteText"/>
      </w:pP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A1EF5" w:rsidRDefault="007A1EF5">
    <w:pPr>
      <w:pStyle w:val="Header"/>
      <w:pBdr>
        <w:bottom w:val="single" w:sz="4" w:space="1" w:color="auto"/>
      </w:pBdr>
      <w:jc w:val="center"/>
      <w:rPr>
        <w:rFonts w:ascii="Calibri" w:hAnsi="Calibri" w:cs="Arial"/>
        <w:b/>
      </w:rPr>
    </w:pPr>
    <w:r>
      <w:rPr>
        <w:rFonts w:ascii="Calibri" w:hAnsi="Calibri" w:cs="Arial"/>
        <w:b/>
      </w:rPr>
      <w:t>Gerechte Teilhabe in Leverkusen: Sozialbericht 2009</w:t>
    </w:r>
  </w:p>
  <w:p w:rsidR="007A1EF5" w:rsidRDefault="007A1EF5">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pt;height:11.25pt" o:bullet="t">
        <v:imagedata r:id="rId1" o:title=""/>
      </v:shape>
    </w:pict>
  </w:numPicBullet>
  <w:abstractNum w:abstractNumId="0">
    <w:nsid w:val="037663E7"/>
    <w:multiLevelType w:val="hybridMultilevel"/>
    <w:tmpl w:val="B33EED86"/>
    <w:lvl w:ilvl="0" w:tplc="050CFEB6">
      <w:start w:val="23"/>
      <w:numFmt w:val="bullet"/>
      <w:lvlText w:val="-"/>
      <w:lvlJc w:val="left"/>
      <w:pPr>
        <w:ind w:left="755" w:hanging="360"/>
      </w:pPr>
      <w:rPr>
        <w:rFonts w:ascii="Arial" w:eastAsia="Times New Roman" w:hAnsi="Arial"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
    <w:nsid w:val="03A45E81"/>
    <w:multiLevelType w:val="hybridMultilevel"/>
    <w:tmpl w:val="A1AA92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677435A"/>
    <w:multiLevelType w:val="hybridMultilevel"/>
    <w:tmpl w:val="143E15FE"/>
    <w:lvl w:ilvl="0" w:tplc="0407000F">
      <w:start w:val="1"/>
      <w:numFmt w:val="decimal"/>
      <w:lvlText w:val="%1."/>
      <w:lvlJc w:val="left"/>
      <w:pPr>
        <w:tabs>
          <w:tab w:val="num" w:pos="360"/>
        </w:tabs>
        <w:ind w:left="360" w:hanging="360"/>
      </w:pPr>
      <w:rPr>
        <w:rFonts w:cs="Times New Roman"/>
      </w:rPr>
    </w:lvl>
    <w:lvl w:ilvl="1" w:tplc="04070019" w:tentative="1">
      <w:start w:val="1"/>
      <w:numFmt w:val="lowerLetter"/>
      <w:lvlText w:val="%2."/>
      <w:lvlJc w:val="left"/>
      <w:pPr>
        <w:tabs>
          <w:tab w:val="num" w:pos="1080"/>
        </w:tabs>
        <w:ind w:left="1080" w:hanging="360"/>
      </w:pPr>
      <w:rPr>
        <w:rFonts w:cs="Times New Roman"/>
      </w:rPr>
    </w:lvl>
    <w:lvl w:ilvl="2" w:tplc="0407001B" w:tentative="1">
      <w:start w:val="1"/>
      <w:numFmt w:val="lowerRoman"/>
      <w:lvlText w:val="%3."/>
      <w:lvlJc w:val="right"/>
      <w:pPr>
        <w:tabs>
          <w:tab w:val="num" w:pos="1800"/>
        </w:tabs>
        <w:ind w:left="1800" w:hanging="180"/>
      </w:pPr>
      <w:rPr>
        <w:rFonts w:cs="Times New Roman"/>
      </w:rPr>
    </w:lvl>
    <w:lvl w:ilvl="3" w:tplc="0407000F" w:tentative="1">
      <w:start w:val="1"/>
      <w:numFmt w:val="decimal"/>
      <w:lvlText w:val="%4."/>
      <w:lvlJc w:val="left"/>
      <w:pPr>
        <w:tabs>
          <w:tab w:val="num" w:pos="2520"/>
        </w:tabs>
        <w:ind w:left="2520" w:hanging="360"/>
      </w:pPr>
      <w:rPr>
        <w:rFonts w:cs="Times New Roman"/>
      </w:rPr>
    </w:lvl>
    <w:lvl w:ilvl="4" w:tplc="04070019" w:tentative="1">
      <w:start w:val="1"/>
      <w:numFmt w:val="lowerLetter"/>
      <w:lvlText w:val="%5."/>
      <w:lvlJc w:val="left"/>
      <w:pPr>
        <w:tabs>
          <w:tab w:val="num" w:pos="3240"/>
        </w:tabs>
        <w:ind w:left="3240" w:hanging="360"/>
      </w:pPr>
      <w:rPr>
        <w:rFonts w:cs="Times New Roman"/>
      </w:rPr>
    </w:lvl>
    <w:lvl w:ilvl="5" w:tplc="0407001B" w:tentative="1">
      <w:start w:val="1"/>
      <w:numFmt w:val="lowerRoman"/>
      <w:lvlText w:val="%6."/>
      <w:lvlJc w:val="right"/>
      <w:pPr>
        <w:tabs>
          <w:tab w:val="num" w:pos="3960"/>
        </w:tabs>
        <w:ind w:left="3960" w:hanging="180"/>
      </w:pPr>
      <w:rPr>
        <w:rFonts w:cs="Times New Roman"/>
      </w:rPr>
    </w:lvl>
    <w:lvl w:ilvl="6" w:tplc="0407000F" w:tentative="1">
      <w:start w:val="1"/>
      <w:numFmt w:val="decimal"/>
      <w:lvlText w:val="%7."/>
      <w:lvlJc w:val="left"/>
      <w:pPr>
        <w:tabs>
          <w:tab w:val="num" w:pos="4680"/>
        </w:tabs>
        <w:ind w:left="4680" w:hanging="360"/>
      </w:pPr>
      <w:rPr>
        <w:rFonts w:cs="Times New Roman"/>
      </w:rPr>
    </w:lvl>
    <w:lvl w:ilvl="7" w:tplc="04070019" w:tentative="1">
      <w:start w:val="1"/>
      <w:numFmt w:val="lowerLetter"/>
      <w:lvlText w:val="%8."/>
      <w:lvlJc w:val="left"/>
      <w:pPr>
        <w:tabs>
          <w:tab w:val="num" w:pos="5400"/>
        </w:tabs>
        <w:ind w:left="5400" w:hanging="360"/>
      </w:pPr>
      <w:rPr>
        <w:rFonts w:cs="Times New Roman"/>
      </w:rPr>
    </w:lvl>
    <w:lvl w:ilvl="8" w:tplc="0407001B" w:tentative="1">
      <w:start w:val="1"/>
      <w:numFmt w:val="lowerRoman"/>
      <w:lvlText w:val="%9."/>
      <w:lvlJc w:val="right"/>
      <w:pPr>
        <w:tabs>
          <w:tab w:val="num" w:pos="6120"/>
        </w:tabs>
        <w:ind w:left="6120" w:hanging="180"/>
      </w:pPr>
      <w:rPr>
        <w:rFonts w:cs="Times New Roman"/>
      </w:rPr>
    </w:lvl>
  </w:abstractNum>
  <w:abstractNum w:abstractNumId="3">
    <w:nsid w:val="0794716B"/>
    <w:multiLevelType w:val="hybridMultilevel"/>
    <w:tmpl w:val="EB40AD2C"/>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4">
    <w:nsid w:val="0B9048FD"/>
    <w:multiLevelType w:val="hybridMultilevel"/>
    <w:tmpl w:val="F286912E"/>
    <w:lvl w:ilvl="0" w:tplc="67C8D1B0">
      <w:start w:val="1"/>
      <w:numFmt w:val="upperRoman"/>
      <w:lvlText w:val="%1."/>
      <w:lvlJc w:val="left"/>
      <w:pPr>
        <w:tabs>
          <w:tab w:val="num" w:pos="1080"/>
        </w:tabs>
        <w:ind w:left="108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
    <w:nsid w:val="0D0D6C8A"/>
    <w:multiLevelType w:val="hybridMultilevel"/>
    <w:tmpl w:val="6D189EFE"/>
    <w:lvl w:ilvl="0" w:tplc="ED1CDB9C">
      <w:start w:val="1"/>
      <w:numFmt w:val="bullet"/>
      <w:lvlText w:val=""/>
      <w:lvlPicBulletId w:val="0"/>
      <w:lvlJc w:val="left"/>
      <w:pPr>
        <w:tabs>
          <w:tab w:val="num" w:pos="720"/>
        </w:tabs>
        <w:ind w:left="720" w:hanging="360"/>
      </w:pPr>
      <w:rPr>
        <w:rFonts w:ascii="Symbol" w:hAnsi="Symbol" w:hint="default"/>
      </w:rPr>
    </w:lvl>
    <w:lvl w:ilvl="1" w:tplc="A12A43AC">
      <w:start w:val="919"/>
      <w:numFmt w:val="bullet"/>
      <w:lvlText w:val=""/>
      <w:lvlJc w:val="left"/>
      <w:pPr>
        <w:tabs>
          <w:tab w:val="num" w:pos="1440"/>
        </w:tabs>
        <w:ind w:left="1440" w:hanging="360"/>
      </w:pPr>
      <w:rPr>
        <w:rFonts w:ascii="Wingdings" w:hAnsi="Wingdings" w:hint="default"/>
      </w:rPr>
    </w:lvl>
    <w:lvl w:ilvl="2" w:tplc="9B3A6D76" w:tentative="1">
      <w:start w:val="1"/>
      <w:numFmt w:val="bullet"/>
      <w:lvlText w:val=""/>
      <w:lvlPicBulletId w:val="0"/>
      <w:lvlJc w:val="left"/>
      <w:pPr>
        <w:tabs>
          <w:tab w:val="num" w:pos="2160"/>
        </w:tabs>
        <w:ind w:left="2160" w:hanging="360"/>
      </w:pPr>
      <w:rPr>
        <w:rFonts w:ascii="Symbol" w:hAnsi="Symbol" w:hint="default"/>
      </w:rPr>
    </w:lvl>
    <w:lvl w:ilvl="3" w:tplc="E6D419BC" w:tentative="1">
      <w:start w:val="1"/>
      <w:numFmt w:val="bullet"/>
      <w:lvlText w:val=""/>
      <w:lvlPicBulletId w:val="0"/>
      <w:lvlJc w:val="left"/>
      <w:pPr>
        <w:tabs>
          <w:tab w:val="num" w:pos="2880"/>
        </w:tabs>
        <w:ind w:left="2880" w:hanging="360"/>
      </w:pPr>
      <w:rPr>
        <w:rFonts w:ascii="Symbol" w:hAnsi="Symbol" w:hint="default"/>
      </w:rPr>
    </w:lvl>
    <w:lvl w:ilvl="4" w:tplc="84DC54BC" w:tentative="1">
      <w:start w:val="1"/>
      <w:numFmt w:val="bullet"/>
      <w:lvlText w:val=""/>
      <w:lvlPicBulletId w:val="0"/>
      <w:lvlJc w:val="left"/>
      <w:pPr>
        <w:tabs>
          <w:tab w:val="num" w:pos="3600"/>
        </w:tabs>
        <w:ind w:left="3600" w:hanging="360"/>
      </w:pPr>
      <w:rPr>
        <w:rFonts w:ascii="Symbol" w:hAnsi="Symbol" w:hint="default"/>
      </w:rPr>
    </w:lvl>
    <w:lvl w:ilvl="5" w:tplc="FFDEB596" w:tentative="1">
      <w:start w:val="1"/>
      <w:numFmt w:val="bullet"/>
      <w:lvlText w:val=""/>
      <w:lvlPicBulletId w:val="0"/>
      <w:lvlJc w:val="left"/>
      <w:pPr>
        <w:tabs>
          <w:tab w:val="num" w:pos="4320"/>
        </w:tabs>
        <w:ind w:left="4320" w:hanging="360"/>
      </w:pPr>
      <w:rPr>
        <w:rFonts w:ascii="Symbol" w:hAnsi="Symbol" w:hint="default"/>
      </w:rPr>
    </w:lvl>
    <w:lvl w:ilvl="6" w:tplc="BAA85EAE" w:tentative="1">
      <w:start w:val="1"/>
      <w:numFmt w:val="bullet"/>
      <w:lvlText w:val=""/>
      <w:lvlPicBulletId w:val="0"/>
      <w:lvlJc w:val="left"/>
      <w:pPr>
        <w:tabs>
          <w:tab w:val="num" w:pos="5040"/>
        </w:tabs>
        <w:ind w:left="5040" w:hanging="360"/>
      </w:pPr>
      <w:rPr>
        <w:rFonts w:ascii="Symbol" w:hAnsi="Symbol" w:hint="default"/>
      </w:rPr>
    </w:lvl>
    <w:lvl w:ilvl="7" w:tplc="A756003E" w:tentative="1">
      <w:start w:val="1"/>
      <w:numFmt w:val="bullet"/>
      <w:lvlText w:val=""/>
      <w:lvlPicBulletId w:val="0"/>
      <w:lvlJc w:val="left"/>
      <w:pPr>
        <w:tabs>
          <w:tab w:val="num" w:pos="5760"/>
        </w:tabs>
        <w:ind w:left="5760" w:hanging="360"/>
      </w:pPr>
      <w:rPr>
        <w:rFonts w:ascii="Symbol" w:hAnsi="Symbol" w:hint="default"/>
      </w:rPr>
    </w:lvl>
    <w:lvl w:ilvl="8" w:tplc="C5E44FCC" w:tentative="1">
      <w:start w:val="1"/>
      <w:numFmt w:val="bullet"/>
      <w:lvlText w:val=""/>
      <w:lvlPicBulletId w:val="0"/>
      <w:lvlJc w:val="left"/>
      <w:pPr>
        <w:tabs>
          <w:tab w:val="num" w:pos="6480"/>
        </w:tabs>
        <w:ind w:left="6480" w:hanging="360"/>
      </w:pPr>
      <w:rPr>
        <w:rFonts w:ascii="Symbol" w:hAnsi="Symbol" w:hint="default"/>
      </w:rPr>
    </w:lvl>
  </w:abstractNum>
  <w:abstractNum w:abstractNumId="6">
    <w:nsid w:val="0DB45517"/>
    <w:multiLevelType w:val="hybridMultilevel"/>
    <w:tmpl w:val="EBCA27E0"/>
    <w:lvl w:ilvl="0" w:tplc="67186F78">
      <w:numFmt w:val="bullet"/>
      <w:lvlText w:val=""/>
      <w:lvlJc w:val="left"/>
      <w:pPr>
        <w:ind w:left="720" w:hanging="360"/>
      </w:pPr>
      <w:rPr>
        <w:rFonts w:ascii="Wingdings" w:eastAsia="Times New Roman"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57908A2"/>
    <w:multiLevelType w:val="hybridMultilevel"/>
    <w:tmpl w:val="A002DE7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18A5260C"/>
    <w:multiLevelType w:val="hybridMultilevel"/>
    <w:tmpl w:val="09D44B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nsid w:val="1B140702"/>
    <w:multiLevelType w:val="hybridMultilevel"/>
    <w:tmpl w:val="0A6ACD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nsid w:val="1BEE3621"/>
    <w:multiLevelType w:val="hybridMultilevel"/>
    <w:tmpl w:val="BAD04E44"/>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
    <w:nsid w:val="1CAB034B"/>
    <w:multiLevelType w:val="hybridMultilevel"/>
    <w:tmpl w:val="E43C880E"/>
    <w:lvl w:ilvl="0" w:tplc="050CFEB6">
      <w:start w:val="23"/>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nsid w:val="1DB14EC8"/>
    <w:multiLevelType w:val="hybridMultilevel"/>
    <w:tmpl w:val="44304674"/>
    <w:lvl w:ilvl="0" w:tplc="0407000F">
      <w:start w:val="1"/>
      <w:numFmt w:val="decimal"/>
      <w:lvlText w:val="%1."/>
      <w:lvlJc w:val="left"/>
      <w:pPr>
        <w:ind w:left="720" w:hanging="360"/>
      </w:pPr>
      <w:rPr>
        <w:rFonts w:cs="Times New Roman" w:hint="default"/>
      </w:rPr>
    </w:lvl>
    <w:lvl w:ilvl="1" w:tplc="04070019" w:tentative="1">
      <w:start w:val="1"/>
      <w:numFmt w:val="lowerLetter"/>
      <w:lvlText w:val="%2."/>
      <w:lvlJc w:val="left"/>
      <w:pPr>
        <w:ind w:left="1440" w:hanging="360"/>
      </w:pPr>
      <w:rPr>
        <w:rFonts w:cs="Times New Roman"/>
      </w:rPr>
    </w:lvl>
    <w:lvl w:ilvl="2" w:tplc="0407001B" w:tentative="1">
      <w:start w:val="1"/>
      <w:numFmt w:val="lowerRoman"/>
      <w:lvlText w:val="%3."/>
      <w:lvlJc w:val="right"/>
      <w:pPr>
        <w:ind w:left="2160" w:hanging="180"/>
      </w:pPr>
      <w:rPr>
        <w:rFonts w:cs="Times New Roman"/>
      </w:rPr>
    </w:lvl>
    <w:lvl w:ilvl="3" w:tplc="0407000F" w:tentative="1">
      <w:start w:val="1"/>
      <w:numFmt w:val="decimal"/>
      <w:lvlText w:val="%4."/>
      <w:lvlJc w:val="left"/>
      <w:pPr>
        <w:ind w:left="2880" w:hanging="360"/>
      </w:pPr>
      <w:rPr>
        <w:rFonts w:cs="Times New Roman"/>
      </w:rPr>
    </w:lvl>
    <w:lvl w:ilvl="4" w:tplc="04070019" w:tentative="1">
      <w:start w:val="1"/>
      <w:numFmt w:val="lowerLetter"/>
      <w:lvlText w:val="%5."/>
      <w:lvlJc w:val="left"/>
      <w:pPr>
        <w:ind w:left="3600" w:hanging="360"/>
      </w:pPr>
      <w:rPr>
        <w:rFonts w:cs="Times New Roman"/>
      </w:rPr>
    </w:lvl>
    <w:lvl w:ilvl="5" w:tplc="0407001B" w:tentative="1">
      <w:start w:val="1"/>
      <w:numFmt w:val="lowerRoman"/>
      <w:lvlText w:val="%6."/>
      <w:lvlJc w:val="right"/>
      <w:pPr>
        <w:ind w:left="4320" w:hanging="180"/>
      </w:pPr>
      <w:rPr>
        <w:rFonts w:cs="Times New Roman"/>
      </w:rPr>
    </w:lvl>
    <w:lvl w:ilvl="6" w:tplc="0407000F" w:tentative="1">
      <w:start w:val="1"/>
      <w:numFmt w:val="decimal"/>
      <w:lvlText w:val="%7."/>
      <w:lvlJc w:val="left"/>
      <w:pPr>
        <w:ind w:left="5040" w:hanging="360"/>
      </w:pPr>
      <w:rPr>
        <w:rFonts w:cs="Times New Roman"/>
      </w:rPr>
    </w:lvl>
    <w:lvl w:ilvl="7" w:tplc="04070019" w:tentative="1">
      <w:start w:val="1"/>
      <w:numFmt w:val="lowerLetter"/>
      <w:lvlText w:val="%8."/>
      <w:lvlJc w:val="left"/>
      <w:pPr>
        <w:ind w:left="5760" w:hanging="360"/>
      </w:pPr>
      <w:rPr>
        <w:rFonts w:cs="Times New Roman"/>
      </w:rPr>
    </w:lvl>
    <w:lvl w:ilvl="8" w:tplc="0407001B" w:tentative="1">
      <w:start w:val="1"/>
      <w:numFmt w:val="lowerRoman"/>
      <w:lvlText w:val="%9."/>
      <w:lvlJc w:val="right"/>
      <w:pPr>
        <w:ind w:left="6480" w:hanging="180"/>
      </w:pPr>
      <w:rPr>
        <w:rFonts w:cs="Times New Roman"/>
      </w:rPr>
    </w:lvl>
  </w:abstractNum>
  <w:abstractNum w:abstractNumId="13">
    <w:nsid w:val="249B0496"/>
    <w:multiLevelType w:val="hybridMultilevel"/>
    <w:tmpl w:val="C722E06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nsid w:val="2DCD4700"/>
    <w:multiLevelType w:val="hybridMultilevel"/>
    <w:tmpl w:val="CED2C4D2"/>
    <w:lvl w:ilvl="0" w:tplc="050CFEB6">
      <w:start w:val="3"/>
      <w:numFmt w:val="bullet"/>
      <w:lvlText w:val="-"/>
      <w:lvlJc w:val="left"/>
      <w:pPr>
        <w:tabs>
          <w:tab w:val="num" w:pos="360"/>
        </w:tabs>
        <w:ind w:left="360" w:hanging="360"/>
      </w:pPr>
      <w:rPr>
        <w:rFonts w:ascii="Arial" w:eastAsia="Times New Roman" w:hAnsi="Arial" w:hint="default"/>
      </w:rPr>
    </w:lvl>
    <w:lvl w:ilvl="1" w:tplc="04070003" w:tentative="1">
      <w:start w:val="1"/>
      <w:numFmt w:val="bullet"/>
      <w:lvlText w:val="o"/>
      <w:lvlJc w:val="left"/>
      <w:pPr>
        <w:tabs>
          <w:tab w:val="num" w:pos="1080"/>
        </w:tabs>
        <w:ind w:left="1080" w:hanging="360"/>
      </w:pPr>
      <w:rPr>
        <w:rFonts w:ascii="Courier New" w:hAnsi="Courier New"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5">
    <w:nsid w:val="2F7606E7"/>
    <w:multiLevelType w:val="multilevel"/>
    <w:tmpl w:val="0407001F"/>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432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16">
    <w:nsid w:val="30061D3F"/>
    <w:multiLevelType w:val="hybridMultilevel"/>
    <w:tmpl w:val="562C6A2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32164419"/>
    <w:multiLevelType w:val="hybridMultilevel"/>
    <w:tmpl w:val="485C53F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nsid w:val="328C5AB6"/>
    <w:multiLevelType w:val="hybridMultilevel"/>
    <w:tmpl w:val="92847190"/>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nsid w:val="33987BEA"/>
    <w:multiLevelType w:val="hybridMultilevel"/>
    <w:tmpl w:val="4918AA92"/>
    <w:lvl w:ilvl="0" w:tplc="305EF1D6">
      <w:start w:val="1"/>
      <w:numFmt w:val="bullet"/>
      <w:lvlText w:val=""/>
      <w:lvlJc w:val="left"/>
      <w:pPr>
        <w:tabs>
          <w:tab w:val="num" w:pos="720"/>
        </w:tabs>
        <w:ind w:left="720" w:hanging="360"/>
      </w:pPr>
      <w:rPr>
        <w:rFonts w:ascii="Wingdings 3" w:hAnsi="Wingdings 3" w:hint="default"/>
      </w:rPr>
    </w:lvl>
    <w:lvl w:ilvl="1" w:tplc="5E847D58" w:tentative="1">
      <w:start w:val="1"/>
      <w:numFmt w:val="bullet"/>
      <w:lvlText w:val=""/>
      <w:lvlJc w:val="left"/>
      <w:pPr>
        <w:tabs>
          <w:tab w:val="num" w:pos="1440"/>
        </w:tabs>
        <w:ind w:left="1440" w:hanging="360"/>
      </w:pPr>
      <w:rPr>
        <w:rFonts w:ascii="Wingdings 3" w:hAnsi="Wingdings 3" w:hint="default"/>
      </w:rPr>
    </w:lvl>
    <w:lvl w:ilvl="2" w:tplc="1B002BCA" w:tentative="1">
      <w:start w:val="1"/>
      <w:numFmt w:val="bullet"/>
      <w:lvlText w:val=""/>
      <w:lvlJc w:val="left"/>
      <w:pPr>
        <w:tabs>
          <w:tab w:val="num" w:pos="2160"/>
        </w:tabs>
        <w:ind w:left="2160" w:hanging="360"/>
      </w:pPr>
      <w:rPr>
        <w:rFonts w:ascii="Wingdings 3" w:hAnsi="Wingdings 3" w:hint="default"/>
      </w:rPr>
    </w:lvl>
    <w:lvl w:ilvl="3" w:tplc="3AA2B622" w:tentative="1">
      <w:start w:val="1"/>
      <w:numFmt w:val="bullet"/>
      <w:lvlText w:val=""/>
      <w:lvlJc w:val="left"/>
      <w:pPr>
        <w:tabs>
          <w:tab w:val="num" w:pos="2880"/>
        </w:tabs>
        <w:ind w:left="2880" w:hanging="360"/>
      </w:pPr>
      <w:rPr>
        <w:rFonts w:ascii="Wingdings 3" w:hAnsi="Wingdings 3" w:hint="default"/>
      </w:rPr>
    </w:lvl>
    <w:lvl w:ilvl="4" w:tplc="E9EEF2C6" w:tentative="1">
      <w:start w:val="1"/>
      <w:numFmt w:val="bullet"/>
      <w:lvlText w:val=""/>
      <w:lvlJc w:val="left"/>
      <w:pPr>
        <w:tabs>
          <w:tab w:val="num" w:pos="3600"/>
        </w:tabs>
        <w:ind w:left="3600" w:hanging="360"/>
      </w:pPr>
      <w:rPr>
        <w:rFonts w:ascii="Wingdings 3" w:hAnsi="Wingdings 3" w:hint="default"/>
      </w:rPr>
    </w:lvl>
    <w:lvl w:ilvl="5" w:tplc="1E249A4C" w:tentative="1">
      <w:start w:val="1"/>
      <w:numFmt w:val="bullet"/>
      <w:lvlText w:val=""/>
      <w:lvlJc w:val="left"/>
      <w:pPr>
        <w:tabs>
          <w:tab w:val="num" w:pos="4320"/>
        </w:tabs>
        <w:ind w:left="4320" w:hanging="360"/>
      </w:pPr>
      <w:rPr>
        <w:rFonts w:ascii="Wingdings 3" w:hAnsi="Wingdings 3" w:hint="default"/>
      </w:rPr>
    </w:lvl>
    <w:lvl w:ilvl="6" w:tplc="057C9FDE" w:tentative="1">
      <w:start w:val="1"/>
      <w:numFmt w:val="bullet"/>
      <w:lvlText w:val=""/>
      <w:lvlJc w:val="left"/>
      <w:pPr>
        <w:tabs>
          <w:tab w:val="num" w:pos="5040"/>
        </w:tabs>
        <w:ind w:left="5040" w:hanging="360"/>
      </w:pPr>
      <w:rPr>
        <w:rFonts w:ascii="Wingdings 3" w:hAnsi="Wingdings 3" w:hint="default"/>
      </w:rPr>
    </w:lvl>
    <w:lvl w:ilvl="7" w:tplc="A2A4DEB4" w:tentative="1">
      <w:start w:val="1"/>
      <w:numFmt w:val="bullet"/>
      <w:lvlText w:val=""/>
      <w:lvlJc w:val="left"/>
      <w:pPr>
        <w:tabs>
          <w:tab w:val="num" w:pos="5760"/>
        </w:tabs>
        <w:ind w:left="5760" w:hanging="360"/>
      </w:pPr>
      <w:rPr>
        <w:rFonts w:ascii="Wingdings 3" w:hAnsi="Wingdings 3" w:hint="default"/>
      </w:rPr>
    </w:lvl>
    <w:lvl w:ilvl="8" w:tplc="484A9C2A" w:tentative="1">
      <w:start w:val="1"/>
      <w:numFmt w:val="bullet"/>
      <w:lvlText w:val=""/>
      <w:lvlJc w:val="left"/>
      <w:pPr>
        <w:tabs>
          <w:tab w:val="num" w:pos="6480"/>
        </w:tabs>
        <w:ind w:left="6480" w:hanging="360"/>
      </w:pPr>
      <w:rPr>
        <w:rFonts w:ascii="Wingdings 3" w:hAnsi="Wingdings 3" w:hint="default"/>
      </w:rPr>
    </w:lvl>
  </w:abstractNum>
  <w:abstractNum w:abstractNumId="20">
    <w:nsid w:val="35954A8A"/>
    <w:multiLevelType w:val="singleLevel"/>
    <w:tmpl w:val="1AB4B3E8"/>
    <w:lvl w:ilvl="0">
      <w:start w:val="1"/>
      <w:numFmt w:val="decimal"/>
      <w:pStyle w:val="Verfgung"/>
      <w:lvlText w:val="%1."/>
      <w:lvlJc w:val="left"/>
      <w:pPr>
        <w:tabs>
          <w:tab w:val="num" w:pos="360"/>
        </w:tabs>
        <w:ind w:left="340" w:hanging="340"/>
      </w:pPr>
      <w:rPr>
        <w:rFonts w:cs="Times New Roman"/>
      </w:rPr>
    </w:lvl>
  </w:abstractNum>
  <w:abstractNum w:abstractNumId="21">
    <w:nsid w:val="3A807753"/>
    <w:multiLevelType w:val="hybridMultilevel"/>
    <w:tmpl w:val="6D8873C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nsid w:val="3AE220FF"/>
    <w:multiLevelType w:val="hybridMultilevel"/>
    <w:tmpl w:val="12A802E0"/>
    <w:lvl w:ilvl="0" w:tplc="A9C0D4D4">
      <w:start w:val="1"/>
      <w:numFmt w:val="bullet"/>
      <w:lvlText w:val="-"/>
      <w:lvlJc w:val="left"/>
      <w:pPr>
        <w:tabs>
          <w:tab w:val="num" w:pos="720"/>
        </w:tabs>
        <w:ind w:left="720" w:hanging="360"/>
      </w:pPr>
      <w:rPr>
        <w:rFonts w:ascii="Times New Roman" w:hAnsi="Times New Roman" w:hint="default"/>
      </w:rPr>
    </w:lvl>
    <w:lvl w:ilvl="1" w:tplc="6872579E" w:tentative="1">
      <w:start w:val="1"/>
      <w:numFmt w:val="bullet"/>
      <w:lvlText w:val="-"/>
      <w:lvlJc w:val="left"/>
      <w:pPr>
        <w:tabs>
          <w:tab w:val="num" w:pos="1440"/>
        </w:tabs>
        <w:ind w:left="1440" w:hanging="360"/>
      </w:pPr>
      <w:rPr>
        <w:rFonts w:ascii="Times New Roman" w:hAnsi="Times New Roman" w:hint="default"/>
      </w:rPr>
    </w:lvl>
    <w:lvl w:ilvl="2" w:tplc="B51EC352" w:tentative="1">
      <w:start w:val="1"/>
      <w:numFmt w:val="bullet"/>
      <w:lvlText w:val="-"/>
      <w:lvlJc w:val="left"/>
      <w:pPr>
        <w:tabs>
          <w:tab w:val="num" w:pos="2160"/>
        </w:tabs>
        <w:ind w:left="2160" w:hanging="360"/>
      </w:pPr>
      <w:rPr>
        <w:rFonts w:ascii="Times New Roman" w:hAnsi="Times New Roman" w:hint="default"/>
      </w:rPr>
    </w:lvl>
    <w:lvl w:ilvl="3" w:tplc="D88C1404" w:tentative="1">
      <w:start w:val="1"/>
      <w:numFmt w:val="bullet"/>
      <w:lvlText w:val="-"/>
      <w:lvlJc w:val="left"/>
      <w:pPr>
        <w:tabs>
          <w:tab w:val="num" w:pos="2880"/>
        </w:tabs>
        <w:ind w:left="2880" w:hanging="360"/>
      </w:pPr>
      <w:rPr>
        <w:rFonts w:ascii="Times New Roman" w:hAnsi="Times New Roman" w:hint="default"/>
      </w:rPr>
    </w:lvl>
    <w:lvl w:ilvl="4" w:tplc="40881D88" w:tentative="1">
      <w:start w:val="1"/>
      <w:numFmt w:val="bullet"/>
      <w:lvlText w:val="-"/>
      <w:lvlJc w:val="left"/>
      <w:pPr>
        <w:tabs>
          <w:tab w:val="num" w:pos="3600"/>
        </w:tabs>
        <w:ind w:left="3600" w:hanging="360"/>
      </w:pPr>
      <w:rPr>
        <w:rFonts w:ascii="Times New Roman" w:hAnsi="Times New Roman" w:hint="default"/>
      </w:rPr>
    </w:lvl>
    <w:lvl w:ilvl="5" w:tplc="6BE23BCA" w:tentative="1">
      <w:start w:val="1"/>
      <w:numFmt w:val="bullet"/>
      <w:lvlText w:val="-"/>
      <w:lvlJc w:val="left"/>
      <w:pPr>
        <w:tabs>
          <w:tab w:val="num" w:pos="4320"/>
        </w:tabs>
        <w:ind w:left="4320" w:hanging="360"/>
      </w:pPr>
      <w:rPr>
        <w:rFonts w:ascii="Times New Roman" w:hAnsi="Times New Roman" w:hint="default"/>
      </w:rPr>
    </w:lvl>
    <w:lvl w:ilvl="6" w:tplc="29F05292" w:tentative="1">
      <w:start w:val="1"/>
      <w:numFmt w:val="bullet"/>
      <w:lvlText w:val="-"/>
      <w:lvlJc w:val="left"/>
      <w:pPr>
        <w:tabs>
          <w:tab w:val="num" w:pos="5040"/>
        </w:tabs>
        <w:ind w:left="5040" w:hanging="360"/>
      </w:pPr>
      <w:rPr>
        <w:rFonts w:ascii="Times New Roman" w:hAnsi="Times New Roman" w:hint="default"/>
      </w:rPr>
    </w:lvl>
    <w:lvl w:ilvl="7" w:tplc="11B0F560" w:tentative="1">
      <w:start w:val="1"/>
      <w:numFmt w:val="bullet"/>
      <w:lvlText w:val="-"/>
      <w:lvlJc w:val="left"/>
      <w:pPr>
        <w:tabs>
          <w:tab w:val="num" w:pos="5760"/>
        </w:tabs>
        <w:ind w:left="5760" w:hanging="360"/>
      </w:pPr>
      <w:rPr>
        <w:rFonts w:ascii="Times New Roman" w:hAnsi="Times New Roman" w:hint="default"/>
      </w:rPr>
    </w:lvl>
    <w:lvl w:ilvl="8" w:tplc="2B642808" w:tentative="1">
      <w:start w:val="1"/>
      <w:numFmt w:val="bullet"/>
      <w:lvlText w:val="-"/>
      <w:lvlJc w:val="left"/>
      <w:pPr>
        <w:tabs>
          <w:tab w:val="num" w:pos="6480"/>
        </w:tabs>
        <w:ind w:left="6480" w:hanging="360"/>
      </w:pPr>
      <w:rPr>
        <w:rFonts w:ascii="Times New Roman" w:hAnsi="Times New Roman" w:hint="default"/>
      </w:rPr>
    </w:lvl>
  </w:abstractNum>
  <w:abstractNum w:abstractNumId="23">
    <w:nsid w:val="3C2507F5"/>
    <w:multiLevelType w:val="hybridMultilevel"/>
    <w:tmpl w:val="E3E20DEA"/>
    <w:lvl w:ilvl="0" w:tplc="153E525E">
      <w:start w:val="1"/>
      <w:numFmt w:val="bullet"/>
      <w:lvlText w:val=""/>
      <w:lvlJc w:val="left"/>
      <w:pPr>
        <w:tabs>
          <w:tab w:val="num" w:pos="720"/>
        </w:tabs>
        <w:ind w:left="720" w:hanging="360"/>
      </w:pPr>
      <w:rPr>
        <w:rFonts w:ascii="Wingdings 3" w:hAnsi="Wingdings 3" w:hint="default"/>
      </w:rPr>
    </w:lvl>
    <w:lvl w:ilvl="1" w:tplc="4BE0306A" w:tentative="1">
      <w:start w:val="1"/>
      <w:numFmt w:val="bullet"/>
      <w:lvlText w:val=""/>
      <w:lvlJc w:val="left"/>
      <w:pPr>
        <w:tabs>
          <w:tab w:val="num" w:pos="1440"/>
        </w:tabs>
        <w:ind w:left="1440" w:hanging="360"/>
      </w:pPr>
      <w:rPr>
        <w:rFonts w:ascii="Wingdings 3" w:hAnsi="Wingdings 3" w:hint="default"/>
      </w:rPr>
    </w:lvl>
    <w:lvl w:ilvl="2" w:tplc="E3B43040" w:tentative="1">
      <w:start w:val="1"/>
      <w:numFmt w:val="bullet"/>
      <w:lvlText w:val=""/>
      <w:lvlJc w:val="left"/>
      <w:pPr>
        <w:tabs>
          <w:tab w:val="num" w:pos="2160"/>
        </w:tabs>
        <w:ind w:left="2160" w:hanging="360"/>
      </w:pPr>
      <w:rPr>
        <w:rFonts w:ascii="Wingdings 3" w:hAnsi="Wingdings 3" w:hint="default"/>
      </w:rPr>
    </w:lvl>
    <w:lvl w:ilvl="3" w:tplc="830CCECA" w:tentative="1">
      <w:start w:val="1"/>
      <w:numFmt w:val="bullet"/>
      <w:lvlText w:val=""/>
      <w:lvlJc w:val="left"/>
      <w:pPr>
        <w:tabs>
          <w:tab w:val="num" w:pos="2880"/>
        </w:tabs>
        <w:ind w:left="2880" w:hanging="360"/>
      </w:pPr>
      <w:rPr>
        <w:rFonts w:ascii="Wingdings 3" w:hAnsi="Wingdings 3" w:hint="default"/>
      </w:rPr>
    </w:lvl>
    <w:lvl w:ilvl="4" w:tplc="8F8A3320" w:tentative="1">
      <w:start w:val="1"/>
      <w:numFmt w:val="bullet"/>
      <w:lvlText w:val=""/>
      <w:lvlJc w:val="left"/>
      <w:pPr>
        <w:tabs>
          <w:tab w:val="num" w:pos="3600"/>
        </w:tabs>
        <w:ind w:left="3600" w:hanging="360"/>
      </w:pPr>
      <w:rPr>
        <w:rFonts w:ascii="Wingdings 3" w:hAnsi="Wingdings 3" w:hint="default"/>
      </w:rPr>
    </w:lvl>
    <w:lvl w:ilvl="5" w:tplc="BF90A7F2" w:tentative="1">
      <w:start w:val="1"/>
      <w:numFmt w:val="bullet"/>
      <w:lvlText w:val=""/>
      <w:lvlJc w:val="left"/>
      <w:pPr>
        <w:tabs>
          <w:tab w:val="num" w:pos="4320"/>
        </w:tabs>
        <w:ind w:left="4320" w:hanging="360"/>
      </w:pPr>
      <w:rPr>
        <w:rFonts w:ascii="Wingdings 3" w:hAnsi="Wingdings 3" w:hint="default"/>
      </w:rPr>
    </w:lvl>
    <w:lvl w:ilvl="6" w:tplc="9F646688" w:tentative="1">
      <w:start w:val="1"/>
      <w:numFmt w:val="bullet"/>
      <w:lvlText w:val=""/>
      <w:lvlJc w:val="left"/>
      <w:pPr>
        <w:tabs>
          <w:tab w:val="num" w:pos="5040"/>
        </w:tabs>
        <w:ind w:left="5040" w:hanging="360"/>
      </w:pPr>
      <w:rPr>
        <w:rFonts w:ascii="Wingdings 3" w:hAnsi="Wingdings 3" w:hint="default"/>
      </w:rPr>
    </w:lvl>
    <w:lvl w:ilvl="7" w:tplc="0B60E1C6" w:tentative="1">
      <w:start w:val="1"/>
      <w:numFmt w:val="bullet"/>
      <w:lvlText w:val=""/>
      <w:lvlJc w:val="left"/>
      <w:pPr>
        <w:tabs>
          <w:tab w:val="num" w:pos="5760"/>
        </w:tabs>
        <w:ind w:left="5760" w:hanging="360"/>
      </w:pPr>
      <w:rPr>
        <w:rFonts w:ascii="Wingdings 3" w:hAnsi="Wingdings 3" w:hint="default"/>
      </w:rPr>
    </w:lvl>
    <w:lvl w:ilvl="8" w:tplc="216ED974" w:tentative="1">
      <w:start w:val="1"/>
      <w:numFmt w:val="bullet"/>
      <w:lvlText w:val=""/>
      <w:lvlJc w:val="left"/>
      <w:pPr>
        <w:tabs>
          <w:tab w:val="num" w:pos="6480"/>
        </w:tabs>
        <w:ind w:left="6480" w:hanging="360"/>
      </w:pPr>
      <w:rPr>
        <w:rFonts w:ascii="Wingdings 3" w:hAnsi="Wingdings 3" w:hint="default"/>
      </w:rPr>
    </w:lvl>
  </w:abstractNum>
  <w:abstractNum w:abstractNumId="24">
    <w:nsid w:val="3CBF3515"/>
    <w:multiLevelType w:val="hybridMultilevel"/>
    <w:tmpl w:val="61CE954E"/>
    <w:lvl w:ilvl="0" w:tplc="050CFEB6">
      <w:start w:val="23"/>
      <w:numFmt w:val="bullet"/>
      <w:lvlText w:val="-"/>
      <w:lvlJc w:val="left"/>
      <w:pPr>
        <w:ind w:left="755" w:hanging="360"/>
      </w:pPr>
      <w:rPr>
        <w:rFonts w:ascii="Arial" w:eastAsia="Times New Roman" w:hAnsi="Arial" w:hint="default"/>
      </w:rPr>
    </w:lvl>
    <w:lvl w:ilvl="1" w:tplc="04070003" w:tentative="1">
      <w:start w:val="1"/>
      <w:numFmt w:val="bullet"/>
      <w:lvlText w:val="o"/>
      <w:lvlJc w:val="left"/>
      <w:pPr>
        <w:ind w:left="1475" w:hanging="360"/>
      </w:pPr>
      <w:rPr>
        <w:rFonts w:ascii="Courier New" w:hAnsi="Courier New" w:hint="default"/>
      </w:rPr>
    </w:lvl>
    <w:lvl w:ilvl="2" w:tplc="04070005" w:tentative="1">
      <w:start w:val="1"/>
      <w:numFmt w:val="bullet"/>
      <w:lvlText w:val=""/>
      <w:lvlJc w:val="left"/>
      <w:pPr>
        <w:ind w:left="2195" w:hanging="360"/>
      </w:pPr>
      <w:rPr>
        <w:rFonts w:ascii="Wingdings" w:hAnsi="Wingdings" w:hint="default"/>
      </w:rPr>
    </w:lvl>
    <w:lvl w:ilvl="3" w:tplc="04070001" w:tentative="1">
      <w:start w:val="1"/>
      <w:numFmt w:val="bullet"/>
      <w:lvlText w:val=""/>
      <w:lvlJc w:val="left"/>
      <w:pPr>
        <w:ind w:left="2915" w:hanging="360"/>
      </w:pPr>
      <w:rPr>
        <w:rFonts w:ascii="Symbol" w:hAnsi="Symbol" w:hint="default"/>
      </w:rPr>
    </w:lvl>
    <w:lvl w:ilvl="4" w:tplc="04070003" w:tentative="1">
      <w:start w:val="1"/>
      <w:numFmt w:val="bullet"/>
      <w:lvlText w:val="o"/>
      <w:lvlJc w:val="left"/>
      <w:pPr>
        <w:ind w:left="3635" w:hanging="360"/>
      </w:pPr>
      <w:rPr>
        <w:rFonts w:ascii="Courier New" w:hAnsi="Courier New" w:hint="default"/>
      </w:rPr>
    </w:lvl>
    <w:lvl w:ilvl="5" w:tplc="04070005" w:tentative="1">
      <w:start w:val="1"/>
      <w:numFmt w:val="bullet"/>
      <w:lvlText w:val=""/>
      <w:lvlJc w:val="left"/>
      <w:pPr>
        <w:ind w:left="4355" w:hanging="360"/>
      </w:pPr>
      <w:rPr>
        <w:rFonts w:ascii="Wingdings" w:hAnsi="Wingdings" w:hint="default"/>
      </w:rPr>
    </w:lvl>
    <w:lvl w:ilvl="6" w:tplc="04070001" w:tentative="1">
      <w:start w:val="1"/>
      <w:numFmt w:val="bullet"/>
      <w:lvlText w:val=""/>
      <w:lvlJc w:val="left"/>
      <w:pPr>
        <w:ind w:left="5075" w:hanging="360"/>
      </w:pPr>
      <w:rPr>
        <w:rFonts w:ascii="Symbol" w:hAnsi="Symbol" w:hint="default"/>
      </w:rPr>
    </w:lvl>
    <w:lvl w:ilvl="7" w:tplc="04070003" w:tentative="1">
      <w:start w:val="1"/>
      <w:numFmt w:val="bullet"/>
      <w:lvlText w:val="o"/>
      <w:lvlJc w:val="left"/>
      <w:pPr>
        <w:ind w:left="5795" w:hanging="360"/>
      </w:pPr>
      <w:rPr>
        <w:rFonts w:ascii="Courier New" w:hAnsi="Courier New" w:hint="default"/>
      </w:rPr>
    </w:lvl>
    <w:lvl w:ilvl="8" w:tplc="04070005" w:tentative="1">
      <w:start w:val="1"/>
      <w:numFmt w:val="bullet"/>
      <w:lvlText w:val=""/>
      <w:lvlJc w:val="left"/>
      <w:pPr>
        <w:ind w:left="6515" w:hanging="360"/>
      </w:pPr>
      <w:rPr>
        <w:rFonts w:ascii="Wingdings" w:hAnsi="Wingdings" w:hint="default"/>
      </w:rPr>
    </w:lvl>
  </w:abstractNum>
  <w:abstractNum w:abstractNumId="25">
    <w:nsid w:val="3FF0166C"/>
    <w:multiLevelType w:val="hybridMultilevel"/>
    <w:tmpl w:val="73CE0FC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43FF5157"/>
    <w:multiLevelType w:val="hybridMultilevel"/>
    <w:tmpl w:val="7518737A"/>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nsid w:val="46056526"/>
    <w:multiLevelType w:val="hybridMultilevel"/>
    <w:tmpl w:val="72A46B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nsid w:val="54452282"/>
    <w:multiLevelType w:val="hybridMultilevel"/>
    <w:tmpl w:val="2B2466E6"/>
    <w:lvl w:ilvl="0" w:tplc="CF988516">
      <w:numFmt w:val="bullet"/>
      <w:lvlText w:val="-"/>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nsid w:val="572C7265"/>
    <w:multiLevelType w:val="hybridMultilevel"/>
    <w:tmpl w:val="125C904A"/>
    <w:lvl w:ilvl="0" w:tplc="93B4D940">
      <w:start w:val="33"/>
      <w:numFmt w:val="bullet"/>
      <w:lvlText w:val="&gt;"/>
      <w:lvlJc w:val="left"/>
      <w:pPr>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nsid w:val="592F3902"/>
    <w:multiLevelType w:val="hybridMultilevel"/>
    <w:tmpl w:val="77B6D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nsid w:val="64903F23"/>
    <w:multiLevelType w:val="hybridMultilevel"/>
    <w:tmpl w:val="121619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nsid w:val="65AC513F"/>
    <w:multiLevelType w:val="hybridMultilevel"/>
    <w:tmpl w:val="3E3E1B0A"/>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nsid w:val="661F7809"/>
    <w:multiLevelType w:val="hybridMultilevel"/>
    <w:tmpl w:val="7408BE7A"/>
    <w:lvl w:ilvl="0" w:tplc="67186F78">
      <w:numFmt w:val="bullet"/>
      <w:lvlText w:val=""/>
      <w:lvlJc w:val="left"/>
      <w:pPr>
        <w:ind w:left="720" w:hanging="360"/>
      </w:pPr>
      <w:rPr>
        <w:rFonts w:ascii="Wingdings" w:eastAsia="Times New Roman" w:hAnsi="Wingdings"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4">
    <w:nsid w:val="663B221D"/>
    <w:multiLevelType w:val="hybridMultilevel"/>
    <w:tmpl w:val="487C4750"/>
    <w:lvl w:ilvl="0" w:tplc="280A76AA">
      <w:start w:val="1"/>
      <w:numFmt w:val="bullet"/>
      <w:lvlText w:val=""/>
      <w:lvlJc w:val="left"/>
      <w:pPr>
        <w:tabs>
          <w:tab w:val="num" w:pos="720"/>
        </w:tabs>
        <w:ind w:left="720" w:hanging="360"/>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5">
    <w:nsid w:val="68375F47"/>
    <w:multiLevelType w:val="hybridMultilevel"/>
    <w:tmpl w:val="F3BE4B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nsid w:val="6A1F044E"/>
    <w:multiLevelType w:val="hybridMultilevel"/>
    <w:tmpl w:val="850CA2E4"/>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6AD07B0F"/>
    <w:multiLevelType w:val="hybridMultilevel"/>
    <w:tmpl w:val="DA4652CE"/>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nsid w:val="6B474AC5"/>
    <w:multiLevelType w:val="hybridMultilevel"/>
    <w:tmpl w:val="31D639A6"/>
    <w:lvl w:ilvl="0" w:tplc="F2F40B98">
      <w:start w:val="1"/>
      <w:numFmt w:val="decimal"/>
      <w:lvlText w:val="%1."/>
      <w:lvlJc w:val="left"/>
      <w:pPr>
        <w:tabs>
          <w:tab w:val="num" w:pos="720"/>
        </w:tabs>
        <w:ind w:left="720" w:hanging="360"/>
      </w:pPr>
      <w:rPr>
        <w:rFonts w:cs="Times New Roman" w:hint="default"/>
      </w:rPr>
    </w:lvl>
    <w:lvl w:ilvl="1" w:tplc="15B2C278">
      <w:numFmt w:val="none"/>
      <w:lvlText w:val=""/>
      <w:lvlJc w:val="left"/>
      <w:pPr>
        <w:tabs>
          <w:tab w:val="num" w:pos="360"/>
        </w:tabs>
      </w:pPr>
      <w:rPr>
        <w:rFonts w:cs="Times New Roman"/>
      </w:rPr>
    </w:lvl>
    <w:lvl w:ilvl="2" w:tplc="2BC4826E">
      <w:numFmt w:val="none"/>
      <w:lvlText w:val=""/>
      <w:lvlJc w:val="left"/>
      <w:pPr>
        <w:tabs>
          <w:tab w:val="num" w:pos="360"/>
        </w:tabs>
      </w:pPr>
      <w:rPr>
        <w:rFonts w:cs="Times New Roman"/>
      </w:rPr>
    </w:lvl>
    <w:lvl w:ilvl="3" w:tplc="2E5AB8D8">
      <w:numFmt w:val="none"/>
      <w:lvlText w:val=""/>
      <w:lvlJc w:val="left"/>
      <w:pPr>
        <w:tabs>
          <w:tab w:val="num" w:pos="360"/>
        </w:tabs>
      </w:pPr>
      <w:rPr>
        <w:rFonts w:cs="Times New Roman"/>
      </w:rPr>
    </w:lvl>
    <w:lvl w:ilvl="4" w:tplc="A57ADB8E">
      <w:numFmt w:val="none"/>
      <w:lvlText w:val=""/>
      <w:lvlJc w:val="left"/>
      <w:pPr>
        <w:tabs>
          <w:tab w:val="num" w:pos="360"/>
        </w:tabs>
      </w:pPr>
      <w:rPr>
        <w:rFonts w:cs="Times New Roman"/>
      </w:rPr>
    </w:lvl>
    <w:lvl w:ilvl="5" w:tplc="9544F44A">
      <w:numFmt w:val="none"/>
      <w:lvlText w:val=""/>
      <w:lvlJc w:val="left"/>
      <w:pPr>
        <w:tabs>
          <w:tab w:val="num" w:pos="360"/>
        </w:tabs>
      </w:pPr>
      <w:rPr>
        <w:rFonts w:cs="Times New Roman"/>
      </w:rPr>
    </w:lvl>
    <w:lvl w:ilvl="6" w:tplc="7CCC37B0">
      <w:numFmt w:val="none"/>
      <w:lvlText w:val=""/>
      <w:lvlJc w:val="left"/>
      <w:pPr>
        <w:tabs>
          <w:tab w:val="num" w:pos="360"/>
        </w:tabs>
      </w:pPr>
      <w:rPr>
        <w:rFonts w:cs="Times New Roman"/>
      </w:rPr>
    </w:lvl>
    <w:lvl w:ilvl="7" w:tplc="BE2E6D72">
      <w:numFmt w:val="none"/>
      <w:lvlText w:val=""/>
      <w:lvlJc w:val="left"/>
      <w:pPr>
        <w:tabs>
          <w:tab w:val="num" w:pos="360"/>
        </w:tabs>
      </w:pPr>
      <w:rPr>
        <w:rFonts w:cs="Times New Roman"/>
      </w:rPr>
    </w:lvl>
    <w:lvl w:ilvl="8" w:tplc="4192D912">
      <w:numFmt w:val="none"/>
      <w:lvlText w:val=""/>
      <w:lvlJc w:val="left"/>
      <w:pPr>
        <w:tabs>
          <w:tab w:val="num" w:pos="360"/>
        </w:tabs>
      </w:pPr>
      <w:rPr>
        <w:rFonts w:cs="Times New Roman"/>
      </w:rPr>
    </w:lvl>
  </w:abstractNum>
  <w:abstractNum w:abstractNumId="39">
    <w:nsid w:val="712864CC"/>
    <w:multiLevelType w:val="hybridMultilevel"/>
    <w:tmpl w:val="86E0BEA6"/>
    <w:lvl w:ilvl="0" w:tplc="5644F298">
      <w:start w:val="1"/>
      <w:numFmt w:val="bullet"/>
      <w:lvlText w:val=""/>
      <w:lvlJc w:val="left"/>
      <w:pPr>
        <w:tabs>
          <w:tab w:val="num" w:pos="360"/>
        </w:tabs>
        <w:ind w:left="360" w:hanging="360"/>
      </w:pPr>
      <w:rPr>
        <w:rFonts w:ascii="Wingdings 3" w:hAnsi="Wingdings 3" w:hint="default"/>
      </w:rPr>
    </w:lvl>
    <w:lvl w:ilvl="1" w:tplc="6540D812">
      <w:start w:val="1647"/>
      <w:numFmt w:val="bullet"/>
      <w:lvlText w:val=""/>
      <w:lvlJc w:val="left"/>
      <w:pPr>
        <w:tabs>
          <w:tab w:val="num" w:pos="1080"/>
        </w:tabs>
        <w:ind w:left="1080" w:hanging="360"/>
      </w:pPr>
      <w:rPr>
        <w:rFonts w:ascii="Wingdings 3" w:hAnsi="Wingdings 3" w:hint="default"/>
      </w:rPr>
    </w:lvl>
    <w:lvl w:ilvl="2" w:tplc="D5BAE1F8" w:tentative="1">
      <w:start w:val="1"/>
      <w:numFmt w:val="bullet"/>
      <w:lvlText w:val=""/>
      <w:lvlJc w:val="left"/>
      <w:pPr>
        <w:tabs>
          <w:tab w:val="num" w:pos="1800"/>
        </w:tabs>
        <w:ind w:left="1800" w:hanging="360"/>
      </w:pPr>
      <w:rPr>
        <w:rFonts w:ascii="Wingdings 3" w:hAnsi="Wingdings 3" w:hint="default"/>
      </w:rPr>
    </w:lvl>
    <w:lvl w:ilvl="3" w:tplc="7038B7D2" w:tentative="1">
      <w:start w:val="1"/>
      <w:numFmt w:val="bullet"/>
      <w:lvlText w:val=""/>
      <w:lvlJc w:val="left"/>
      <w:pPr>
        <w:tabs>
          <w:tab w:val="num" w:pos="2520"/>
        </w:tabs>
        <w:ind w:left="2520" w:hanging="360"/>
      </w:pPr>
      <w:rPr>
        <w:rFonts w:ascii="Wingdings 3" w:hAnsi="Wingdings 3" w:hint="default"/>
      </w:rPr>
    </w:lvl>
    <w:lvl w:ilvl="4" w:tplc="76229BD8" w:tentative="1">
      <w:start w:val="1"/>
      <w:numFmt w:val="bullet"/>
      <w:lvlText w:val=""/>
      <w:lvlJc w:val="left"/>
      <w:pPr>
        <w:tabs>
          <w:tab w:val="num" w:pos="3240"/>
        </w:tabs>
        <w:ind w:left="3240" w:hanging="360"/>
      </w:pPr>
      <w:rPr>
        <w:rFonts w:ascii="Wingdings 3" w:hAnsi="Wingdings 3" w:hint="default"/>
      </w:rPr>
    </w:lvl>
    <w:lvl w:ilvl="5" w:tplc="1F6A70BC" w:tentative="1">
      <w:start w:val="1"/>
      <w:numFmt w:val="bullet"/>
      <w:lvlText w:val=""/>
      <w:lvlJc w:val="left"/>
      <w:pPr>
        <w:tabs>
          <w:tab w:val="num" w:pos="3960"/>
        </w:tabs>
        <w:ind w:left="3960" w:hanging="360"/>
      </w:pPr>
      <w:rPr>
        <w:rFonts w:ascii="Wingdings 3" w:hAnsi="Wingdings 3" w:hint="default"/>
      </w:rPr>
    </w:lvl>
    <w:lvl w:ilvl="6" w:tplc="568E0780" w:tentative="1">
      <w:start w:val="1"/>
      <w:numFmt w:val="bullet"/>
      <w:lvlText w:val=""/>
      <w:lvlJc w:val="left"/>
      <w:pPr>
        <w:tabs>
          <w:tab w:val="num" w:pos="4680"/>
        </w:tabs>
        <w:ind w:left="4680" w:hanging="360"/>
      </w:pPr>
      <w:rPr>
        <w:rFonts w:ascii="Wingdings 3" w:hAnsi="Wingdings 3" w:hint="default"/>
      </w:rPr>
    </w:lvl>
    <w:lvl w:ilvl="7" w:tplc="386CF06E" w:tentative="1">
      <w:start w:val="1"/>
      <w:numFmt w:val="bullet"/>
      <w:lvlText w:val=""/>
      <w:lvlJc w:val="left"/>
      <w:pPr>
        <w:tabs>
          <w:tab w:val="num" w:pos="5400"/>
        </w:tabs>
        <w:ind w:left="5400" w:hanging="360"/>
      </w:pPr>
      <w:rPr>
        <w:rFonts w:ascii="Wingdings 3" w:hAnsi="Wingdings 3" w:hint="default"/>
      </w:rPr>
    </w:lvl>
    <w:lvl w:ilvl="8" w:tplc="6EEA84D4" w:tentative="1">
      <w:start w:val="1"/>
      <w:numFmt w:val="bullet"/>
      <w:lvlText w:val=""/>
      <w:lvlJc w:val="left"/>
      <w:pPr>
        <w:tabs>
          <w:tab w:val="num" w:pos="6120"/>
        </w:tabs>
        <w:ind w:left="6120" w:hanging="360"/>
      </w:pPr>
      <w:rPr>
        <w:rFonts w:ascii="Wingdings 3" w:hAnsi="Wingdings 3" w:hint="default"/>
      </w:rPr>
    </w:lvl>
  </w:abstractNum>
  <w:abstractNum w:abstractNumId="40">
    <w:nsid w:val="73E90183"/>
    <w:multiLevelType w:val="hybridMultilevel"/>
    <w:tmpl w:val="8B76A864"/>
    <w:lvl w:ilvl="0" w:tplc="3E942C1C">
      <w:numFmt w:val="bullet"/>
      <w:lvlText w:val="-"/>
      <w:lvlJc w:val="left"/>
      <w:pPr>
        <w:ind w:left="720" w:hanging="360"/>
      </w:pPr>
      <w:rPr>
        <w:rFonts w:ascii="Calibri" w:eastAsia="Times New Roman" w:hAnsi="Calibri"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nsid w:val="78116D6E"/>
    <w:multiLevelType w:val="hybridMultilevel"/>
    <w:tmpl w:val="B3AAF304"/>
    <w:lvl w:ilvl="0" w:tplc="9D1CB800">
      <w:start w:val="1"/>
      <w:numFmt w:val="bullet"/>
      <w:lvlText w:val="-"/>
      <w:lvlJc w:val="left"/>
      <w:pPr>
        <w:tabs>
          <w:tab w:val="num" w:pos="720"/>
        </w:tabs>
        <w:ind w:left="720" w:hanging="360"/>
      </w:pPr>
      <w:rPr>
        <w:rFonts w:ascii="Times New Roman" w:hAnsi="Times New Roman" w:hint="default"/>
      </w:rPr>
    </w:lvl>
    <w:lvl w:ilvl="1" w:tplc="7422B61C" w:tentative="1">
      <w:start w:val="1"/>
      <w:numFmt w:val="bullet"/>
      <w:lvlText w:val="-"/>
      <w:lvlJc w:val="left"/>
      <w:pPr>
        <w:tabs>
          <w:tab w:val="num" w:pos="1440"/>
        </w:tabs>
        <w:ind w:left="1440" w:hanging="360"/>
      </w:pPr>
      <w:rPr>
        <w:rFonts w:ascii="Times New Roman" w:hAnsi="Times New Roman" w:hint="default"/>
      </w:rPr>
    </w:lvl>
    <w:lvl w:ilvl="2" w:tplc="E3A24BA8" w:tentative="1">
      <w:start w:val="1"/>
      <w:numFmt w:val="bullet"/>
      <w:lvlText w:val="-"/>
      <w:lvlJc w:val="left"/>
      <w:pPr>
        <w:tabs>
          <w:tab w:val="num" w:pos="2160"/>
        </w:tabs>
        <w:ind w:left="2160" w:hanging="360"/>
      </w:pPr>
      <w:rPr>
        <w:rFonts w:ascii="Times New Roman" w:hAnsi="Times New Roman" w:hint="default"/>
      </w:rPr>
    </w:lvl>
    <w:lvl w:ilvl="3" w:tplc="BE94D914" w:tentative="1">
      <w:start w:val="1"/>
      <w:numFmt w:val="bullet"/>
      <w:lvlText w:val="-"/>
      <w:lvlJc w:val="left"/>
      <w:pPr>
        <w:tabs>
          <w:tab w:val="num" w:pos="2880"/>
        </w:tabs>
        <w:ind w:left="2880" w:hanging="360"/>
      </w:pPr>
      <w:rPr>
        <w:rFonts w:ascii="Times New Roman" w:hAnsi="Times New Roman" w:hint="default"/>
      </w:rPr>
    </w:lvl>
    <w:lvl w:ilvl="4" w:tplc="918C101A" w:tentative="1">
      <w:start w:val="1"/>
      <w:numFmt w:val="bullet"/>
      <w:lvlText w:val="-"/>
      <w:lvlJc w:val="left"/>
      <w:pPr>
        <w:tabs>
          <w:tab w:val="num" w:pos="3600"/>
        </w:tabs>
        <w:ind w:left="3600" w:hanging="360"/>
      </w:pPr>
      <w:rPr>
        <w:rFonts w:ascii="Times New Roman" w:hAnsi="Times New Roman" w:hint="default"/>
      </w:rPr>
    </w:lvl>
    <w:lvl w:ilvl="5" w:tplc="057E2968" w:tentative="1">
      <w:start w:val="1"/>
      <w:numFmt w:val="bullet"/>
      <w:lvlText w:val="-"/>
      <w:lvlJc w:val="left"/>
      <w:pPr>
        <w:tabs>
          <w:tab w:val="num" w:pos="4320"/>
        </w:tabs>
        <w:ind w:left="4320" w:hanging="360"/>
      </w:pPr>
      <w:rPr>
        <w:rFonts w:ascii="Times New Roman" w:hAnsi="Times New Roman" w:hint="default"/>
      </w:rPr>
    </w:lvl>
    <w:lvl w:ilvl="6" w:tplc="FE0807B2" w:tentative="1">
      <w:start w:val="1"/>
      <w:numFmt w:val="bullet"/>
      <w:lvlText w:val="-"/>
      <w:lvlJc w:val="left"/>
      <w:pPr>
        <w:tabs>
          <w:tab w:val="num" w:pos="5040"/>
        </w:tabs>
        <w:ind w:left="5040" w:hanging="360"/>
      </w:pPr>
      <w:rPr>
        <w:rFonts w:ascii="Times New Roman" w:hAnsi="Times New Roman" w:hint="default"/>
      </w:rPr>
    </w:lvl>
    <w:lvl w:ilvl="7" w:tplc="77A6B292" w:tentative="1">
      <w:start w:val="1"/>
      <w:numFmt w:val="bullet"/>
      <w:lvlText w:val="-"/>
      <w:lvlJc w:val="left"/>
      <w:pPr>
        <w:tabs>
          <w:tab w:val="num" w:pos="5760"/>
        </w:tabs>
        <w:ind w:left="5760" w:hanging="360"/>
      </w:pPr>
      <w:rPr>
        <w:rFonts w:ascii="Times New Roman" w:hAnsi="Times New Roman" w:hint="default"/>
      </w:rPr>
    </w:lvl>
    <w:lvl w:ilvl="8" w:tplc="3782EF2A" w:tentative="1">
      <w:start w:val="1"/>
      <w:numFmt w:val="bullet"/>
      <w:lvlText w:val="-"/>
      <w:lvlJc w:val="left"/>
      <w:pPr>
        <w:tabs>
          <w:tab w:val="num" w:pos="6480"/>
        </w:tabs>
        <w:ind w:left="6480" w:hanging="360"/>
      </w:pPr>
      <w:rPr>
        <w:rFonts w:ascii="Times New Roman" w:hAnsi="Times New Roman" w:hint="default"/>
      </w:rPr>
    </w:lvl>
  </w:abstractNum>
  <w:abstractNum w:abstractNumId="42">
    <w:nsid w:val="782A4517"/>
    <w:multiLevelType w:val="hybridMultilevel"/>
    <w:tmpl w:val="8A94F56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nsid w:val="7ADC2F5A"/>
    <w:multiLevelType w:val="hybridMultilevel"/>
    <w:tmpl w:val="AD0E72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nsid w:val="7D101C48"/>
    <w:multiLevelType w:val="hybridMultilevel"/>
    <w:tmpl w:val="77126006"/>
    <w:lvl w:ilvl="0" w:tplc="6552634C">
      <w:start w:val="1"/>
      <w:numFmt w:val="bullet"/>
      <w:lvlText w:val=""/>
      <w:lvlJc w:val="left"/>
      <w:pPr>
        <w:tabs>
          <w:tab w:val="num" w:pos="720"/>
        </w:tabs>
        <w:ind w:left="720" w:hanging="360"/>
      </w:pPr>
      <w:rPr>
        <w:rFonts w:ascii="Wingdings 3" w:hAnsi="Wingdings 3" w:hint="default"/>
      </w:rPr>
    </w:lvl>
    <w:lvl w:ilvl="1" w:tplc="EE70FB9E" w:tentative="1">
      <w:start w:val="1"/>
      <w:numFmt w:val="bullet"/>
      <w:lvlText w:val=""/>
      <w:lvlJc w:val="left"/>
      <w:pPr>
        <w:tabs>
          <w:tab w:val="num" w:pos="1440"/>
        </w:tabs>
        <w:ind w:left="1440" w:hanging="360"/>
      </w:pPr>
      <w:rPr>
        <w:rFonts w:ascii="Wingdings 3" w:hAnsi="Wingdings 3" w:hint="default"/>
      </w:rPr>
    </w:lvl>
    <w:lvl w:ilvl="2" w:tplc="774C3420" w:tentative="1">
      <w:start w:val="1"/>
      <w:numFmt w:val="bullet"/>
      <w:lvlText w:val=""/>
      <w:lvlJc w:val="left"/>
      <w:pPr>
        <w:tabs>
          <w:tab w:val="num" w:pos="2160"/>
        </w:tabs>
        <w:ind w:left="2160" w:hanging="360"/>
      </w:pPr>
      <w:rPr>
        <w:rFonts w:ascii="Wingdings 3" w:hAnsi="Wingdings 3" w:hint="default"/>
      </w:rPr>
    </w:lvl>
    <w:lvl w:ilvl="3" w:tplc="19867BEC" w:tentative="1">
      <w:start w:val="1"/>
      <w:numFmt w:val="bullet"/>
      <w:lvlText w:val=""/>
      <w:lvlJc w:val="left"/>
      <w:pPr>
        <w:tabs>
          <w:tab w:val="num" w:pos="2880"/>
        </w:tabs>
        <w:ind w:left="2880" w:hanging="360"/>
      </w:pPr>
      <w:rPr>
        <w:rFonts w:ascii="Wingdings 3" w:hAnsi="Wingdings 3" w:hint="default"/>
      </w:rPr>
    </w:lvl>
    <w:lvl w:ilvl="4" w:tplc="7CD2E288" w:tentative="1">
      <w:start w:val="1"/>
      <w:numFmt w:val="bullet"/>
      <w:lvlText w:val=""/>
      <w:lvlJc w:val="left"/>
      <w:pPr>
        <w:tabs>
          <w:tab w:val="num" w:pos="3600"/>
        </w:tabs>
        <w:ind w:left="3600" w:hanging="360"/>
      </w:pPr>
      <w:rPr>
        <w:rFonts w:ascii="Wingdings 3" w:hAnsi="Wingdings 3" w:hint="default"/>
      </w:rPr>
    </w:lvl>
    <w:lvl w:ilvl="5" w:tplc="1138DE22" w:tentative="1">
      <w:start w:val="1"/>
      <w:numFmt w:val="bullet"/>
      <w:lvlText w:val=""/>
      <w:lvlJc w:val="left"/>
      <w:pPr>
        <w:tabs>
          <w:tab w:val="num" w:pos="4320"/>
        </w:tabs>
        <w:ind w:left="4320" w:hanging="360"/>
      </w:pPr>
      <w:rPr>
        <w:rFonts w:ascii="Wingdings 3" w:hAnsi="Wingdings 3" w:hint="default"/>
      </w:rPr>
    </w:lvl>
    <w:lvl w:ilvl="6" w:tplc="6C14C828" w:tentative="1">
      <w:start w:val="1"/>
      <w:numFmt w:val="bullet"/>
      <w:lvlText w:val=""/>
      <w:lvlJc w:val="left"/>
      <w:pPr>
        <w:tabs>
          <w:tab w:val="num" w:pos="5040"/>
        </w:tabs>
        <w:ind w:left="5040" w:hanging="360"/>
      </w:pPr>
      <w:rPr>
        <w:rFonts w:ascii="Wingdings 3" w:hAnsi="Wingdings 3" w:hint="default"/>
      </w:rPr>
    </w:lvl>
    <w:lvl w:ilvl="7" w:tplc="43DE2E76" w:tentative="1">
      <w:start w:val="1"/>
      <w:numFmt w:val="bullet"/>
      <w:lvlText w:val=""/>
      <w:lvlJc w:val="left"/>
      <w:pPr>
        <w:tabs>
          <w:tab w:val="num" w:pos="5760"/>
        </w:tabs>
        <w:ind w:left="5760" w:hanging="360"/>
      </w:pPr>
      <w:rPr>
        <w:rFonts w:ascii="Wingdings 3" w:hAnsi="Wingdings 3" w:hint="default"/>
      </w:rPr>
    </w:lvl>
    <w:lvl w:ilvl="8" w:tplc="DC2E7A9C" w:tentative="1">
      <w:start w:val="1"/>
      <w:numFmt w:val="bullet"/>
      <w:lvlText w:val=""/>
      <w:lvlJc w:val="left"/>
      <w:pPr>
        <w:tabs>
          <w:tab w:val="num" w:pos="6480"/>
        </w:tabs>
        <w:ind w:left="6480" w:hanging="360"/>
      </w:pPr>
      <w:rPr>
        <w:rFonts w:ascii="Wingdings 3" w:hAnsi="Wingdings 3" w:hint="default"/>
      </w:rPr>
    </w:lvl>
  </w:abstractNum>
  <w:abstractNum w:abstractNumId="45">
    <w:nsid w:val="7D627A29"/>
    <w:multiLevelType w:val="hybridMultilevel"/>
    <w:tmpl w:val="C4C6783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nsid w:val="7F2872B2"/>
    <w:multiLevelType w:val="hybridMultilevel"/>
    <w:tmpl w:val="13A63102"/>
    <w:lvl w:ilvl="0" w:tplc="050CFEB6">
      <w:start w:val="23"/>
      <w:numFmt w:val="bullet"/>
      <w:lvlText w:val="-"/>
      <w:lvlJc w:val="left"/>
      <w:pPr>
        <w:tabs>
          <w:tab w:val="num" w:pos="720"/>
        </w:tabs>
        <w:ind w:left="720" w:hanging="360"/>
      </w:pPr>
      <w:rPr>
        <w:rFonts w:ascii="Arial" w:eastAsia="Times New Roman" w:hAnsi="Aria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7">
    <w:nsid w:val="7F60657F"/>
    <w:multiLevelType w:val="hybridMultilevel"/>
    <w:tmpl w:val="8826C11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8">
    <w:nsid w:val="7F8C7A77"/>
    <w:multiLevelType w:val="hybridMultilevel"/>
    <w:tmpl w:val="D1E285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0"/>
  </w:num>
  <w:num w:numId="2">
    <w:abstractNumId w:val="15"/>
  </w:num>
  <w:num w:numId="3">
    <w:abstractNumId w:val="38"/>
  </w:num>
  <w:num w:numId="4">
    <w:abstractNumId w:val="2"/>
  </w:num>
  <w:num w:numId="5">
    <w:abstractNumId w:val="3"/>
  </w:num>
  <w:num w:numId="6">
    <w:abstractNumId w:val="32"/>
  </w:num>
  <w:num w:numId="7">
    <w:abstractNumId w:val="12"/>
  </w:num>
  <w:num w:numId="8">
    <w:abstractNumId w:val="41"/>
  </w:num>
  <w:num w:numId="9">
    <w:abstractNumId w:val="5"/>
  </w:num>
  <w:num w:numId="10">
    <w:abstractNumId w:val="22"/>
  </w:num>
  <w:num w:numId="11">
    <w:abstractNumId w:val="6"/>
  </w:num>
  <w:num w:numId="12">
    <w:abstractNumId w:val="37"/>
  </w:num>
  <w:num w:numId="13">
    <w:abstractNumId w:val="46"/>
  </w:num>
  <w:num w:numId="14">
    <w:abstractNumId w:val="17"/>
  </w:num>
  <w:num w:numId="15">
    <w:abstractNumId w:val="36"/>
  </w:num>
  <w:num w:numId="16">
    <w:abstractNumId w:val="26"/>
  </w:num>
  <w:num w:numId="17">
    <w:abstractNumId w:val="29"/>
  </w:num>
  <w:num w:numId="18">
    <w:abstractNumId w:val="33"/>
  </w:num>
  <w:num w:numId="19">
    <w:abstractNumId w:val="34"/>
  </w:num>
  <w:num w:numId="20">
    <w:abstractNumId w:val="14"/>
  </w:num>
  <w:num w:numId="21">
    <w:abstractNumId w:val="28"/>
  </w:num>
  <w:num w:numId="22">
    <w:abstractNumId w:val="21"/>
  </w:num>
  <w:num w:numId="23">
    <w:abstractNumId w:val="45"/>
  </w:num>
  <w:num w:numId="24">
    <w:abstractNumId w:val="44"/>
  </w:num>
  <w:num w:numId="25">
    <w:abstractNumId w:val="23"/>
  </w:num>
  <w:num w:numId="26">
    <w:abstractNumId w:val="39"/>
  </w:num>
  <w:num w:numId="27">
    <w:abstractNumId w:val="40"/>
  </w:num>
  <w:num w:numId="28">
    <w:abstractNumId w:val="8"/>
  </w:num>
  <w:num w:numId="29">
    <w:abstractNumId w:val="30"/>
  </w:num>
  <w:num w:numId="30">
    <w:abstractNumId w:val="47"/>
  </w:num>
  <w:num w:numId="31">
    <w:abstractNumId w:val="48"/>
  </w:num>
  <w:num w:numId="32">
    <w:abstractNumId w:val="9"/>
  </w:num>
  <w:num w:numId="33">
    <w:abstractNumId w:val="31"/>
  </w:num>
  <w:num w:numId="34">
    <w:abstractNumId w:val="16"/>
  </w:num>
  <w:num w:numId="35">
    <w:abstractNumId w:val="27"/>
  </w:num>
  <w:num w:numId="36">
    <w:abstractNumId w:val="7"/>
  </w:num>
  <w:num w:numId="37">
    <w:abstractNumId w:val="43"/>
  </w:num>
  <w:num w:numId="38">
    <w:abstractNumId w:val="42"/>
  </w:num>
  <w:num w:numId="39">
    <w:abstractNumId w:val="35"/>
  </w:num>
  <w:num w:numId="40">
    <w:abstractNumId w:val="1"/>
  </w:num>
  <w:num w:numId="41">
    <w:abstractNumId w:val="19"/>
  </w:num>
  <w:num w:numId="42">
    <w:abstractNumId w:val="11"/>
  </w:num>
  <w:num w:numId="43">
    <w:abstractNumId w:val="24"/>
  </w:num>
  <w:num w:numId="44">
    <w:abstractNumId w:val="13"/>
  </w:num>
  <w:num w:numId="45">
    <w:abstractNumId w:val="25"/>
  </w:num>
  <w:num w:numId="46">
    <w:abstractNumId w:val="18"/>
  </w:num>
  <w:num w:numId="47">
    <w:abstractNumId w:val="10"/>
  </w:num>
  <w:num w:numId="48">
    <w:abstractNumId w:val="0"/>
  </w:num>
  <w:num w:numId="49">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trackRevisions/>
  <w:defaultTabStop w:val="708"/>
  <w:hyphenationZone w:val="425"/>
  <w:displayHorizontalDrawingGridEvery w:val="0"/>
  <w:displayVerticalDrawingGridEvery w:val="0"/>
  <w:doNotUseMarginsForDrawingGridOrigin/>
  <w:noPunctuationKerning/>
  <w:characterSpacingControl w:val="doNotCompress"/>
  <w:footnotePr>
    <w:footnote w:id="0"/>
    <w:footnote w:id="1"/>
  </w:footnotePr>
  <w:endnotePr>
    <w:endnote w:id="0"/>
    <w:endnote w:id="1"/>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24C8D"/>
    <w:rsid w:val="00023F97"/>
    <w:rsid w:val="0013029D"/>
    <w:rsid w:val="00195DD1"/>
    <w:rsid w:val="001F2BEB"/>
    <w:rsid w:val="0020437E"/>
    <w:rsid w:val="00216ECB"/>
    <w:rsid w:val="0022784B"/>
    <w:rsid w:val="0025060F"/>
    <w:rsid w:val="00297C97"/>
    <w:rsid w:val="003373B3"/>
    <w:rsid w:val="003404B6"/>
    <w:rsid w:val="003A6885"/>
    <w:rsid w:val="0045359F"/>
    <w:rsid w:val="00521972"/>
    <w:rsid w:val="00524C8D"/>
    <w:rsid w:val="00574F96"/>
    <w:rsid w:val="00577411"/>
    <w:rsid w:val="00643C29"/>
    <w:rsid w:val="0065786A"/>
    <w:rsid w:val="00672DCC"/>
    <w:rsid w:val="00765C18"/>
    <w:rsid w:val="00773ABB"/>
    <w:rsid w:val="007940CE"/>
    <w:rsid w:val="00795EBB"/>
    <w:rsid w:val="007A1EF5"/>
    <w:rsid w:val="007B6FC4"/>
    <w:rsid w:val="007E6A99"/>
    <w:rsid w:val="00842B8D"/>
    <w:rsid w:val="008530B0"/>
    <w:rsid w:val="0089371A"/>
    <w:rsid w:val="00896A43"/>
    <w:rsid w:val="008F2711"/>
    <w:rsid w:val="00931AD9"/>
    <w:rsid w:val="009947C6"/>
    <w:rsid w:val="009B270B"/>
    <w:rsid w:val="00A1723F"/>
    <w:rsid w:val="00AD1C2F"/>
    <w:rsid w:val="00B16162"/>
    <w:rsid w:val="00B55225"/>
    <w:rsid w:val="00B66134"/>
    <w:rsid w:val="00C06903"/>
    <w:rsid w:val="00C4649D"/>
    <w:rsid w:val="00C70FEA"/>
    <w:rsid w:val="00C96A95"/>
    <w:rsid w:val="00CE53F1"/>
    <w:rsid w:val="00CF4AF3"/>
    <w:rsid w:val="00D13675"/>
    <w:rsid w:val="00D1735D"/>
    <w:rsid w:val="00D427A0"/>
    <w:rsid w:val="00DD0F19"/>
    <w:rsid w:val="00E61F6B"/>
    <w:rsid w:val="00E9083F"/>
    <w:rsid w:val="00ED450D"/>
    <w:rsid w:val="00EE6920"/>
    <w:rsid w:val="00F15587"/>
    <w:rsid w:val="00F80C27"/>
    <w:rsid w:val="00F918C8"/>
    <w:rsid w:val="00FA3FF6"/>
    <w:rsid w:val="00FF09C0"/>
    <w:rsid w:val="00FF7A34"/>
  </w:rsids>
  <m:mathPr>
    <m:mathFont m:val="Cambria Math"/>
    <m:brkBin m:val="before"/>
    <m:brkBinSub m:val="--"/>
    <m:smallFrac m:val="off"/>
    <m:dispDef/>
    <m:lMargin m:val="0"/>
    <m:rMargin m:val="0"/>
    <m:defJc m:val="centerGroup"/>
    <m:wrapIndent m:val="1440"/>
    <m:intLim m:val="subSup"/>
    <m:naryLim m:val="undOvr"/>
  </m:mathPr>
  <w:uiCompat97To2003/>
  <w:themeFontLang w:val="de-D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7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de-DE" w:eastAsia="de-DE"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footnote text" w:locked="1" w:semiHidden="0" w:uiPriority="0" w:unhideWhenUsed="0"/>
    <w:lsdException w:name="caption" w:locked="1" w:semiHidden="0" w:uiPriority="0" w:unhideWhenUsed="0" w:qFormat="1"/>
    <w:lsdException w:name="footnote reference" w:locked="1" w:semiHidden="0" w:uiPriority="0" w:unhideWhenUsed="0"/>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0437E"/>
    <w:rPr>
      <w:sz w:val="24"/>
      <w:szCs w:val="24"/>
    </w:rPr>
  </w:style>
  <w:style w:type="paragraph" w:styleId="Heading4">
    <w:name w:val="heading 4"/>
    <w:basedOn w:val="Normal"/>
    <w:link w:val="Heading4Char"/>
    <w:uiPriority w:val="99"/>
    <w:qFormat/>
    <w:rsid w:val="0020437E"/>
    <w:pPr>
      <w:outlineLvl w:val="3"/>
    </w:pPr>
    <w:rPr>
      <w:b/>
      <w:bCs/>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basedOn w:val="DefaultParagraphFont"/>
    <w:link w:val="Heading4"/>
    <w:uiPriority w:val="99"/>
    <w:locked/>
    <w:rsid w:val="0020437E"/>
    <w:rPr>
      <w:rFonts w:cs="Times New Roman"/>
      <w:b/>
      <w:bCs/>
      <w:sz w:val="24"/>
      <w:szCs w:val="24"/>
    </w:rPr>
  </w:style>
  <w:style w:type="paragraph" w:styleId="Header">
    <w:name w:val="header"/>
    <w:basedOn w:val="Normal"/>
    <w:link w:val="HeaderChar"/>
    <w:uiPriority w:val="99"/>
    <w:rsid w:val="0020437E"/>
    <w:pPr>
      <w:tabs>
        <w:tab w:val="center" w:pos="4536"/>
        <w:tab w:val="right" w:pos="9072"/>
      </w:tabs>
    </w:pPr>
  </w:style>
  <w:style w:type="character" w:customStyle="1" w:styleId="HeaderChar">
    <w:name w:val="Header Char"/>
    <w:basedOn w:val="DefaultParagraphFont"/>
    <w:link w:val="Header"/>
    <w:uiPriority w:val="99"/>
    <w:semiHidden/>
    <w:locked/>
    <w:rsid w:val="0020437E"/>
    <w:rPr>
      <w:rFonts w:cs="Times New Roman"/>
      <w:sz w:val="24"/>
      <w:szCs w:val="24"/>
    </w:rPr>
  </w:style>
  <w:style w:type="paragraph" w:styleId="Footer">
    <w:name w:val="footer"/>
    <w:basedOn w:val="Normal"/>
    <w:link w:val="FooterChar"/>
    <w:uiPriority w:val="99"/>
    <w:rsid w:val="0020437E"/>
    <w:pPr>
      <w:tabs>
        <w:tab w:val="center" w:pos="4536"/>
        <w:tab w:val="right" w:pos="9072"/>
      </w:tabs>
    </w:pPr>
  </w:style>
  <w:style w:type="character" w:customStyle="1" w:styleId="FooterChar">
    <w:name w:val="Footer Char"/>
    <w:basedOn w:val="DefaultParagraphFont"/>
    <w:link w:val="Footer"/>
    <w:uiPriority w:val="99"/>
    <w:semiHidden/>
    <w:locked/>
    <w:rsid w:val="0020437E"/>
    <w:rPr>
      <w:rFonts w:cs="Times New Roman"/>
      <w:sz w:val="24"/>
      <w:szCs w:val="24"/>
    </w:rPr>
  </w:style>
  <w:style w:type="character" w:styleId="PageNumber">
    <w:name w:val="page number"/>
    <w:basedOn w:val="DefaultParagraphFont"/>
    <w:uiPriority w:val="99"/>
    <w:rsid w:val="0020437E"/>
    <w:rPr>
      <w:rFonts w:cs="Times New Roman"/>
    </w:rPr>
  </w:style>
  <w:style w:type="paragraph" w:customStyle="1" w:styleId="Verfgung">
    <w:name w:val="Verfügung"/>
    <w:basedOn w:val="Normal"/>
    <w:uiPriority w:val="99"/>
    <w:rsid w:val="0020437E"/>
    <w:pPr>
      <w:numPr>
        <w:numId w:val="1"/>
      </w:numPr>
      <w:spacing w:after="240"/>
    </w:pPr>
  </w:style>
  <w:style w:type="paragraph" w:styleId="List3">
    <w:name w:val="List 3"/>
    <w:basedOn w:val="Normal"/>
    <w:uiPriority w:val="99"/>
    <w:rsid w:val="0020437E"/>
    <w:pPr>
      <w:ind w:left="849" w:hanging="283"/>
    </w:pPr>
  </w:style>
  <w:style w:type="paragraph" w:customStyle="1" w:styleId="ZZZ">
    <w:name w:val="ZZZ"/>
    <w:basedOn w:val="Verfgung"/>
    <w:uiPriority w:val="99"/>
    <w:rsid w:val="0020437E"/>
    <w:rPr>
      <w:color w:val="FFFFFF"/>
    </w:rPr>
  </w:style>
  <w:style w:type="paragraph" w:styleId="BalloonText">
    <w:name w:val="Balloon Text"/>
    <w:basedOn w:val="Normal"/>
    <w:link w:val="BalloonTextChar"/>
    <w:uiPriority w:val="99"/>
    <w:semiHidden/>
    <w:rsid w:val="0020437E"/>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0437E"/>
    <w:rPr>
      <w:rFonts w:cs="Times New Roman"/>
      <w:sz w:val="2"/>
    </w:rPr>
  </w:style>
  <w:style w:type="paragraph" w:styleId="FootnoteText">
    <w:name w:val="footnote text"/>
    <w:basedOn w:val="Normal"/>
    <w:link w:val="FootnoteTextChar"/>
    <w:uiPriority w:val="99"/>
    <w:semiHidden/>
    <w:rsid w:val="0020437E"/>
    <w:rPr>
      <w:sz w:val="20"/>
      <w:szCs w:val="20"/>
    </w:rPr>
  </w:style>
  <w:style w:type="character" w:customStyle="1" w:styleId="FootnoteTextChar">
    <w:name w:val="Footnote Text Char"/>
    <w:basedOn w:val="DefaultParagraphFont"/>
    <w:link w:val="FootnoteText"/>
    <w:uiPriority w:val="99"/>
    <w:semiHidden/>
    <w:locked/>
    <w:rsid w:val="0020437E"/>
    <w:rPr>
      <w:rFonts w:cs="Times New Roman"/>
    </w:rPr>
  </w:style>
  <w:style w:type="character" w:styleId="FootnoteReference">
    <w:name w:val="footnote reference"/>
    <w:basedOn w:val="DefaultParagraphFont"/>
    <w:uiPriority w:val="99"/>
    <w:semiHidden/>
    <w:rsid w:val="0020437E"/>
    <w:rPr>
      <w:rFonts w:cs="Times New Roman"/>
      <w:vertAlign w:val="superscript"/>
    </w:rPr>
  </w:style>
  <w:style w:type="paragraph" w:styleId="TOC1">
    <w:name w:val="toc 1"/>
    <w:basedOn w:val="Normal"/>
    <w:next w:val="Normal"/>
    <w:autoRedefine/>
    <w:uiPriority w:val="99"/>
    <w:semiHidden/>
    <w:rsid w:val="0020437E"/>
    <w:pPr>
      <w:tabs>
        <w:tab w:val="left" w:pos="480"/>
        <w:tab w:val="right" w:leader="dot" w:pos="9060"/>
      </w:tabs>
    </w:pPr>
    <w:rPr>
      <w:rFonts w:ascii="Arial" w:hAnsi="Arial" w:cs="Arial"/>
      <w:b/>
      <w:noProof/>
    </w:rPr>
  </w:style>
  <w:style w:type="paragraph" w:styleId="TOC2">
    <w:name w:val="toc 2"/>
    <w:basedOn w:val="Normal"/>
    <w:next w:val="Normal"/>
    <w:autoRedefine/>
    <w:uiPriority w:val="99"/>
    <w:semiHidden/>
    <w:rsid w:val="0020437E"/>
    <w:pPr>
      <w:ind w:left="240"/>
    </w:pPr>
  </w:style>
  <w:style w:type="paragraph" w:styleId="TOC3">
    <w:name w:val="toc 3"/>
    <w:basedOn w:val="Normal"/>
    <w:next w:val="Normal"/>
    <w:autoRedefine/>
    <w:uiPriority w:val="99"/>
    <w:semiHidden/>
    <w:rsid w:val="0020437E"/>
    <w:pPr>
      <w:ind w:left="480"/>
    </w:pPr>
  </w:style>
  <w:style w:type="character" w:styleId="Hyperlink">
    <w:name w:val="Hyperlink"/>
    <w:basedOn w:val="DefaultParagraphFont"/>
    <w:uiPriority w:val="99"/>
    <w:rsid w:val="0020437E"/>
    <w:rPr>
      <w:rFonts w:cs="Times New Roman"/>
      <w:color w:val="0000FF"/>
      <w:u w:val="single"/>
    </w:rPr>
  </w:style>
  <w:style w:type="paragraph" w:styleId="ListParagraph">
    <w:name w:val="List Paragraph"/>
    <w:basedOn w:val="Normal"/>
    <w:uiPriority w:val="99"/>
    <w:qFormat/>
    <w:rsid w:val="0020437E"/>
    <w:pPr>
      <w:ind w:left="708"/>
    </w:pPr>
  </w:style>
  <w:style w:type="table" w:styleId="TableGrid">
    <w:name w:val="Table Grid"/>
    <w:basedOn w:val="TableNormal"/>
    <w:uiPriority w:val="99"/>
    <w:rsid w:val="0020437E"/>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Accent2">
    <w:name w:val="Light Shading Accent 2"/>
    <w:basedOn w:val="TableNormal"/>
    <w:uiPriority w:val="99"/>
    <w:rsid w:val="0020437E"/>
    <w:rPr>
      <w:color w:val="943634"/>
      <w:sz w:val="20"/>
      <w:szCs w:val="20"/>
    </w:rPr>
    <w:tblPr>
      <w:tblStyleRowBandSize w:val="1"/>
      <w:tblStyleColBandSize w:val="1"/>
      <w:tblInd w:w="0" w:type="dxa"/>
      <w:tblBorders>
        <w:top w:val="single" w:sz="8" w:space="0" w:color="C0504D"/>
        <w:bottom w:val="single" w:sz="8" w:space="0" w:color="C0504D"/>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paragraph" w:customStyle="1" w:styleId="p">
    <w:name w:val="p"/>
    <w:basedOn w:val="Normal"/>
    <w:uiPriority w:val="99"/>
    <w:rsid w:val="0020437E"/>
    <w:pPr>
      <w:spacing w:after="225"/>
    </w:pPr>
  </w:style>
  <w:style w:type="paragraph" w:styleId="DocumentMap">
    <w:name w:val="Document Map"/>
    <w:basedOn w:val="Normal"/>
    <w:link w:val="DocumentMapChar"/>
    <w:uiPriority w:val="99"/>
    <w:semiHidden/>
    <w:rsid w:val="0020437E"/>
    <w:rPr>
      <w:rFonts w:ascii="Tahoma" w:hAnsi="Tahoma" w:cs="Tahoma"/>
      <w:sz w:val="16"/>
      <w:szCs w:val="16"/>
    </w:rPr>
  </w:style>
  <w:style w:type="character" w:customStyle="1" w:styleId="DocumentMapChar">
    <w:name w:val="Document Map Char"/>
    <w:basedOn w:val="DefaultParagraphFont"/>
    <w:link w:val="DocumentMap"/>
    <w:uiPriority w:val="99"/>
    <w:semiHidden/>
    <w:locked/>
    <w:rsid w:val="0020437E"/>
    <w:rPr>
      <w:rFonts w:ascii="Tahoma" w:hAnsi="Tahoma" w:cs="Tahoma"/>
      <w:sz w:val="16"/>
      <w:szCs w:val="16"/>
    </w:rPr>
  </w:style>
  <w:style w:type="paragraph" w:styleId="Caption">
    <w:name w:val="caption"/>
    <w:basedOn w:val="Normal"/>
    <w:next w:val="Normal"/>
    <w:uiPriority w:val="99"/>
    <w:qFormat/>
    <w:rsid w:val="0020437E"/>
    <w:pPr>
      <w:spacing w:after="200"/>
    </w:pPr>
    <w:rPr>
      <w:b/>
      <w:bCs/>
      <w:color w:val="4F81BD"/>
      <w:sz w:val="18"/>
      <w:szCs w:val="18"/>
    </w:rPr>
  </w:style>
  <w:style w:type="table" w:styleId="LightShading-Accent3">
    <w:name w:val="Light Shading Accent 3"/>
    <w:basedOn w:val="TableNormal"/>
    <w:uiPriority w:val="99"/>
    <w:rsid w:val="0020437E"/>
    <w:rPr>
      <w:color w:val="76923C"/>
      <w:sz w:val="20"/>
      <w:szCs w:val="20"/>
    </w:rPr>
    <w:tblPr>
      <w:tblStyleRowBandSize w:val="1"/>
      <w:tblStyleColBandSize w:val="1"/>
      <w:tblInd w:w="0" w:type="dxa"/>
      <w:tblBorders>
        <w:top w:val="single" w:sz="8" w:space="0" w:color="9BBB59"/>
        <w:bottom w:val="single" w:sz="8" w:space="0" w:color="9BBB59"/>
      </w:tblBorders>
      <w:tblCellMar>
        <w:top w:w="0" w:type="dxa"/>
        <w:left w:w="108" w:type="dxa"/>
        <w:bottom w:w="0" w:type="dxa"/>
        <w:right w:w="108" w:type="dxa"/>
      </w:tblCellMar>
    </w:tblPr>
    <w:tblStylePr w:type="fir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rFonts w:cs="Times New Roman"/>
        <w:b/>
        <w:bCs/>
      </w:rPr>
      <w:tblPr/>
      <w:tcPr>
        <w:tcBorders>
          <w:top w:val="single" w:sz="8" w:space="0" w:color="9BBB59"/>
          <w:left w:val="nil"/>
          <w:bottom w:val="single" w:sz="8" w:space="0" w:color="9BBB59"/>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6EED5"/>
      </w:tcPr>
    </w:tblStylePr>
    <w:tblStylePr w:type="band1Horz">
      <w:rPr>
        <w:rFonts w:cs="Times New Roman"/>
      </w:rPr>
      <w:tblPr/>
      <w:tcPr>
        <w:tcBorders>
          <w:left w:val="nil"/>
          <w:right w:val="nil"/>
          <w:insideH w:val="nil"/>
          <w:insideV w:val="nil"/>
        </w:tcBorders>
        <w:shd w:val="clear" w:color="auto" w:fill="E6EED5"/>
      </w:tcPr>
    </w:tblStylePr>
  </w:style>
  <w:style w:type="table" w:styleId="LightList-Accent3">
    <w:name w:val="Light List Accent 3"/>
    <w:basedOn w:val="TableNormal"/>
    <w:uiPriority w:val="99"/>
    <w:rsid w:val="0020437E"/>
    <w:rPr>
      <w:sz w:val="20"/>
      <w:szCs w:val="20"/>
    </w:rPr>
    <w:tblPr>
      <w:tblStyleRowBandSize w:val="1"/>
      <w:tblStyleColBandSize w:val="1"/>
      <w:tblInd w:w="0" w:type="dxa"/>
      <w:tblBorders>
        <w:top w:val="single" w:sz="8" w:space="0" w:color="9BBB59"/>
        <w:left w:val="single" w:sz="8" w:space="0" w:color="9BBB59"/>
        <w:bottom w:val="single" w:sz="8" w:space="0" w:color="9BBB59"/>
        <w:right w:val="single" w:sz="8" w:space="0" w:color="9BBB59"/>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9BBB59"/>
      </w:tcPr>
    </w:tblStylePr>
    <w:tblStylePr w:type="lastRow">
      <w:pPr>
        <w:spacing w:before="0" w:after="0"/>
      </w:pPr>
      <w:rPr>
        <w:rFonts w:cs="Times New Roman"/>
        <w:b/>
        <w:bCs/>
      </w:rPr>
      <w:tblPr/>
      <w:tcPr>
        <w:tcBorders>
          <w:top w:val="double" w:sz="6" w:space="0" w:color="9BBB59"/>
          <w:left w:val="single" w:sz="8" w:space="0" w:color="9BBB59"/>
          <w:bottom w:val="single" w:sz="8" w:space="0" w:color="9BBB59"/>
          <w:right w:val="single" w:sz="8" w:space="0" w:color="9BBB59"/>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9BBB59"/>
          <w:left w:val="single" w:sz="8" w:space="0" w:color="9BBB59"/>
          <w:bottom w:val="single" w:sz="8" w:space="0" w:color="9BBB59"/>
          <w:right w:val="single" w:sz="8" w:space="0" w:color="9BBB59"/>
        </w:tcBorders>
      </w:tcPr>
    </w:tblStylePr>
    <w:tblStylePr w:type="band1Horz">
      <w:rPr>
        <w:rFonts w:cs="Times New Roman"/>
      </w:rPr>
      <w:tblPr/>
      <w:tcPr>
        <w:tcBorders>
          <w:top w:val="single" w:sz="8" w:space="0" w:color="9BBB59"/>
          <w:left w:val="single" w:sz="8" w:space="0" w:color="9BBB59"/>
          <w:bottom w:val="single" w:sz="8" w:space="0" w:color="9BBB59"/>
          <w:right w:val="single" w:sz="8" w:space="0" w:color="9BBB59"/>
        </w:tcBorders>
      </w:tcPr>
    </w:tblStylePr>
  </w:style>
  <w:style w:type="table" w:customStyle="1" w:styleId="HelleSchattierung1">
    <w:name w:val="Helle Schattierung1"/>
    <w:uiPriority w:val="99"/>
    <w:rsid w:val="0020437E"/>
    <w:rPr>
      <w:color w:val="000000"/>
      <w:sz w:val="20"/>
      <w:szCs w:val="20"/>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style>
  <w:style w:type="table" w:styleId="LightList-Accent2">
    <w:name w:val="Light List Accent 2"/>
    <w:basedOn w:val="TableNormal"/>
    <w:uiPriority w:val="99"/>
    <w:rsid w:val="0020437E"/>
    <w:rPr>
      <w:sz w:val="20"/>
      <w:szCs w:val="20"/>
    </w:rPr>
    <w:tblPr>
      <w:tblStyleRowBandSize w:val="1"/>
      <w:tblStyleColBandSize w:val="1"/>
      <w:tblInd w:w="0" w:type="dxa"/>
      <w:tblBorders>
        <w:top w:val="single" w:sz="8" w:space="0" w:color="C0504D"/>
        <w:left w:val="single" w:sz="8" w:space="0" w:color="C0504D"/>
        <w:bottom w:val="single" w:sz="8" w:space="0" w:color="C0504D"/>
        <w:right w:val="single" w:sz="8" w:space="0" w:color="C0504D"/>
      </w:tblBorders>
      <w:tblCellMar>
        <w:top w:w="0" w:type="dxa"/>
        <w:left w:w="108" w:type="dxa"/>
        <w:bottom w:w="0" w:type="dxa"/>
        <w:right w:w="108" w:type="dxa"/>
      </w:tblCellMar>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paragraph" w:styleId="BodyText2">
    <w:name w:val="Body Text 2"/>
    <w:basedOn w:val="Normal"/>
    <w:link w:val="BodyText2Char"/>
    <w:uiPriority w:val="99"/>
    <w:rsid w:val="0020437E"/>
    <w:pPr>
      <w:spacing w:after="120" w:line="480" w:lineRule="auto"/>
    </w:pPr>
    <w:rPr>
      <w:rFonts w:ascii="Arial" w:hAnsi="Arial"/>
    </w:rPr>
  </w:style>
  <w:style w:type="character" w:customStyle="1" w:styleId="BodyText2Char">
    <w:name w:val="Body Text 2 Char"/>
    <w:basedOn w:val="DefaultParagraphFont"/>
    <w:link w:val="BodyText2"/>
    <w:uiPriority w:val="99"/>
    <w:semiHidden/>
    <w:locked/>
    <w:rsid w:val="0020437E"/>
    <w:rPr>
      <w:rFonts w:cs="Times New Roman"/>
      <w:sz w:val="24"/>
      <w:szCs w:val="24"/>
    </w:rPr>
  </w:style>
</w:styles>
</file>

<file path=word/webSettings.xml><?xml version="1.0" encoding="utf-8"?>
<w:webSettings xmlns:r="http://schemas.openxmlformats.org/officeDocument/2006/relationships" xmlns:w="http://schemas.openxmlformats.org/wordprocessingml/2006/main">
  <w:divs>
    <w:div w:id="631835839">
      <w:marLeft w:val="0"/>
      <w:marRight w:val="0"/>
      <w:marTop w:val="0"/>
      <w:marBottom w:val="0"/>
      <w:divBdr>
        <w:top w:val="none" w:sz="0" w:space="0" w:color="auto"/>
        <w:left w:val="none" w:sz="0" w:space="0" w:color="auto"/>
        <w:bottom w:val="none" w:sz="0" w:space="0" w:color="auto"/>
        <w:right w:val="none" w:sz="0" w:space="0" w:color="auto"/>
      </w:divBdr>
    </w:div>
    <w:div w:id="631835840">
      <w:marLeft w:val="0"/>
      <w:marRight w:val="0"/>
      <w:marTop w:val="0"/>
      <w:marBottom w:val="0"/>
      <w:divBdr>
        <w:top w:val="none" w:sz="0" w:space="0" w:color="auto"/>
        <w:left w:val="none" w:sz="0" w:space="0" w:color="auto"/>
        <w:bottom w:val="none" w:sz="0" w:space="0" w:color="auto"/>
        <w:right w:val="none" w:sz="0" w:space="0" w:color="auto"/>
      </w:divBdr>
    </w:div>
    <w:div w:id="631835841">
      <w:marLeft w:val="0"/>
      <w:marRight w:val="0"/>
      <w:marTop w:val="0"/>
      <w:marBottom w:val="0"/>
      <w:divBdr>
        <w:top w:val="none" w:sz="0" w:space="0" w:color="auto"/>
        <w:left w:val="none" w:sz="0" w:space="0" w:color="auto"/>
        <w:bottom w:val="none" w:sz="0" w:space="0" w:color="auto"/>
        <w:right w:val="none" w:sz="0" w:space="0" w:color="auto"/>
      </w:divBdr>
    </w:div>
    <w:div w:id="631835843">
      <w:marLeft w:val="0"/>
      <w:marRight w:val="0"/>
      <w:marTop w:val="0"/>
      <w:marBottom w:val="0"/>
      <w:divBdr>
        <w:top w:val="none" w:sz="0" w:space="0" w:color="auto"/>
        <w:left w:val="none" w:sz="0" w:space="0" w:color="auto"/>
        <w:bottom w:val="none" w:sz="0" w:space="0" w:color="auto"/>
        <w:right w:val="none" w:sz="0" w:space="0" w:color="auto"/>
      </w:divBdr>
    </w:div>
    <w:div w:id="631835846">
      <w:marLeft w:val="0"/>
      <w:marRight w:val="0"/>
      <w:marTop w:val="0"/>
      <w:marBottom w:val="0"/>
      <w:divBdr>
        <w:top w:val="none" w:sz="0" w:space="0" w:color="auto"/>
        <w:left w:val="none" w:sz="0" w:space="0" w:color="auto"/>
        <w:bottom w:val="none" w:sz="0" w:space="0" w:color="auto"/>
        <w:right w:val="none" w:sz="0" w:space="0" w:color="auto"/>
      </w:divBdr>
    </w:div>
    <w:div w:id="631835848">
      <w:marLeft w:val="0"/>
      <w:marRight w:val="0"/>
      <w:marTop w:val="0"/>
      <w:marBottom w:val="0"/>
      <w:divBdr>
        <w:top w:val="none" w:sz="0" w:space="0" w:color="auto"/>
        <w:left w:val="none" w:sz="0" w:space="0" w:color="auto"/>
        <w:bottom w:val="none" w:sz="0" w:space="0" w:color="auto"/>
        <w:right w:val="none" w:sz="0" w:space="0" w:color="auto"/>
      </w:divBdr>
      <w:divsChild>
        <w:div w:id="631835837">
          <w:marLeft w:val="547"/>
          <w:marRight w:val="0"/>
          <w:marTop w:val="144"/>
          <w:marBottom w:val="0"/>
          <w:divBdr>
            <w:top w:val="none" w:sz="0" w:space="0" w:color="auto"/>
            <w:left w:val="none" w:sz="0" w:space="0" w:color="auto"/>
            <w:bottom w:val="none" w:sz="0" w:space="0" w:color="auto"/>
            <w:right w:val="none" w:sz="0" w:space="0" w:color="auto"/>
          </w:divBdr>
        </w:div>
        <w:div w:id="631835856">
          <w:marLeft w:val="547"/>
          <w:marRight w:val="0"/>
          <w:marTop w:val="144"/>
          <w:marBottom w:val="0"/>
          <w:divBdr>
            <w:top w:val="none" w:sz="0" w:space="0" w:color="auto"/>
            <w:left w:val="none" w:sz="0" w:space="0" w:color="auto"/>
            <w:bottom w:val="none" w:sz="0" w:space="0" w:color="auto"/>
            <w:right w:val="none" w:sz="0" w:space="0" w:color="auto"/>
          </w:divBdr>
        </w:div>
        <w:div w:id="631835863">
          <w:marLeft w:val="547"/>
          <w:marRight w:val="0"/>
          <w:marTop w:val="144"/>
          <w:marBottom w:val="0"/>
          <w:divBdr>
            <w:top w:val="none" w:sz="0" w:space="0" w:color="auto"/>
            <w:left w:val="none" w:sz="0" w:space="0" w:color="auto"/>
            <w:bottom w:val="none" w:sz="0" w:space="0" w:color="auto"/>
            <w:right w:val="none" w:sz="0" w:space="0" w:color="auto"/>
          </w:divBdr>
        </w:div>
        <w:div w:id="631835879">
          <w:marLeft w:val="547"/>
          <w:marRight w:val="0"/>
          <w:marTop w:val="144"/>
          <w:marBottom w:val="0"/>
          <w:divBdr>
            <w:top w:val="none" w:sz="0" w:space="0" w:color="auto"/>
            <w:left w:val="none" w:sz="0" w:space="0" w:color="auto"/>
            <w:bottom w:val="none" w:sz="0" w:space="0" w:color="auto"/>
            <w:right w:val="none" w:sz="0" w:space="0" w:color="auto"/>
          </w:divBdr>
        </w:div>
        <w:div w:id="631835883">
          <w:marLeft w:val="547"/>
          <w:marRight w:val="0"/>
          <w:marTop w:val="144"/>
          <w:marBottom w:val="0"/>
          <w:divBdr>
            <w:top w:val="none" w:sz="0" w:space="0" w:color="auto"/>
            <w:left w:val="none" w:sz="0" w:space="0" w:color="auto"/>
            <w:bottom w:val="none" w:sz="0" w:space="0" w:color="auto"/>
            <w:right w:val="none" w:sz="0" w:space="0" w:color="auto"/>
          </w:divBdr>
        </w:div>
      </w:divsChild>
    </w:div>
    <w:div w:id="631835849">
      <w:marLeft w:val="0"/>
      <w:marRight w:val="0"/>
      <w:marTop w:val="0"/>
      <w:marBottom w:val="0"/>
      <w:divBdr>
        <w:top w:val="none" w:sz="0" w:space="0" w:color="auto"/>
        <w:left w:val="none" w:sz="0" w:space="0" w:color="auto"/>
        <w:bottom w:val="none" w:sz="0" w:space="0" w:color="auto"/>
        <w:right w:val="none" w:sz="0" w:space="0" w:color="auto"/>
      </w:divBdr>
      <w:divsChild>
        <w:div w:id="631835838">
          <w:marLeft w:val="547"/>
          <w:marRight w:val="0"/>
          <w:marTop w:val="125"/>
          <w:marBottom w:val="0"/>
          <w:divBdr>
            <w:top w:val="none" w:sz="0" w:space="0" w:color="auto"/>
            <w:left w:val="none" w:sz="0" w:space="0" w:color="auto"/>
            <w:bottom w:val="none" w:sz="0" w:space="0" w:color="auto"/>
            <w:right w:val="none" w:sz="0" w:space="0" w:color="auto"/>
          </w:divBdr>
        </w:div>
        <w:div w:id="631835847">
          <w:marLeft w:val="547"/>
          <w:marRight w:val="0"/>
          <w:marTop w:val="125"/>
          <w:marBottom w:val="0"/>
          <w:divBdr>
            <w:top w:val="none" w:sz="0" w:space="0" w:color="auto"/>
            <w:left w:val="none" w:sz="0" w:space="0" w:color="auto"/>
            <w:bottom w:val="none" w:sz="0" w:space="0" w:color="auto"/>
            <w:right w:val="none" w:sz="0" w:space="0" w:color="auto"/>
          </w:divBdr>
        </w:div>
        <w:div w:id="631835860">
          <w:marLeft w:val="547"/>
          <w:marRight w:val="0"/>
          <w:marTop w:val="125"/>
          <w:marBottom w:val="0"/>
          <w:divBdr>
            <w:top w:val="none" w:sz="0" w:space="0" w:color="auto"/>
            <w:left w:val="none" w:sz="0" w:space="0" w:color="auto"/>
            <w:bottom w:val="none" w:sz="0" w:space="0" w:color="auto"/>
            <w:right w:val="none" w:sz="0" w:space="0" w:color="auto"/>
          </w:divBdr>
        </w:div>
        <w:div w:id="631835861">
          <w:marLeft w:val="547"/>
          <w:marRight w:val="0"/>
          <w:marTop w:val="125"/>
          <w:marBottom w:val="0"/>
          <w:divBdr>
            <w:top w:val="none" w:sz="0" w:space="0" w:color="auto"/>
            <w:left w:val="none" w:sz="0" w:space="0" w:color="auto"/>
            <w:bottom w:val="none" w:sz="0" w:space="0" w:color="auto"/>
            <w:right w:val="none" w:sz="0" w:space="0" w:color="auto"/>
          </w:divBdr>
        </w:div>
        <w:div w:id="631835870">
          <w:marLeft w:val="547"/>
          <w:marRight w:val="0"/>
          <w:marTop w:val="125"/>
          <w:marBottom w:val="0"/>
          <w:divBdr>
            <w:top w:val="none" w:sz="0" w:space="0" w:color="auto"/>
            <w:left w:val="none" w:sz="0" w:space="0" w:color="auto"/>
            <w:bottom w:val="none" w:sz="0" w:space="0" w:color="auto"/>
            <w:right w:val="none" w:sz="0" w:space="0" w:color="auto"/>
          </w:divBdr>
        </w:div>
        <w:div w:id="631835884">
          <w:marLeft w:val="547"/>
          <w:marRight w:val="0"/>
          <w:marTop w:val="125"/>
          <w:marBottom w:val="0"/>
          <w:divBdr>
            <w:top w:val="none" w:sz="0" w:space="0" w:color="auto"/>
            <w:left w:val="none" w:sz="0" w:space="0" w:color="auto"/>
            <w:bottom w:val="none" w:sz="0" w:space="0" w:color="auto"/>
            <w:right w:val="none" w:sz="0" w:space="0" w:color="auto"/>
          </w:divBdr>
        </w:div>
      </w:divsChild>
    </w:div>
    <w:div w:id="631835850">
      <w:marLeft w:val="0"/>
      <w:marRight w:val="0"/>
      <w:marTop w:val="0"/>
      <w:marBottom w:val="0"/>
      <w:divBdr>
        <w:top w:val="none" w:sz="0" w:space="0" w:color="auto"/>
        <w:left w:val="none" w:sz="0" w:space="0" w:color="auto"/>
        <w:bottom w:val="none" w:sz="0" w:space="0" w:color="auto"/>
        <w:right w:val="none" w:sz="0" w:space="0" w:color="auto"/>
      </w:divBdr>
    </w:div>
    <w:div w:id="631835857">
      <w:marLeft w:val="0"/>
      <w:marRight w:val="0"/>
      <w:marTop w:val="0"/>
      <w:marBottom w:val="0"/>
      <w:divBdr>
        <w:top w:val="none" w:sz="0" w:space="0" w:color="auto"/>
        <w:left w:val="none" w:sz="0" w:space="0" w:color="auto"/>
        <w:bottom w:val="none" w:sz="0" w:space="0" w:color="auto"/>
        <w:right w:val="none" w:sz="0" w:space="0" w:color="auto"/>
      </w:divBdr>
    </w:div>
    <w:div w:id="631835858">
      <w:marLeft w:val="0"/>
      <w:marRight w:val="0"/>
      <w:marTop w:val="0"/>
      <w:marBottom w:val="0"/>
      <w:divBdr>
        <w:top w:val="none" w:sz="0" w:space="0" w:color="auto"/>
        <w:left w:val="none" w:sz="0" w:space="0" w:color="auto"/>
        <w:bottom w:val="none" w:sz="0" w:space="0" w:color="auto"/>
        <w:right w:val="none" w:sz="0" w:space="0" w:color="auto"/>
      </w:divBdr>
      <w:divsChild>
        <w:div w:id="631835851">
          <w:marLeft w:val="547"/>
          <w:marRight w:val="0"/>
          <w:marTop w:val="125"/>
          <w:marBottom w:val="0"/>
          <w:divBdr>
            <w:top w:val="none" w:sz="0" w:space="0" w:color="auto"/>
            <w:left w:val="none" w:sz="0" w:space="0" w:color="auto"/>
            <w:bottom w:val="none" w:sz="0" w:space="0" w:color="auto"/>
            <w:right w:val="none" w:sz="0" w:space="0" w:color="auto"/>
          </w:divBdr>
        </w:div>
        <w:div w:id="631835854">
          <w:marLeft w:val="547"/>
          <w:marRight w:val="0"/>
          <w:marTop w:val="125"/>
          <w:marBottom w:val="0"/>
          <w:divBdr>
            <w:top w:val="none" w:sz="0" w:space="0" w:color="auto"/>
            <w:left w:val="none" w:sz="0" w:space="0" w:color="auto"/>
            <w:bottom w:val="none" w:sz="0" w:space="0" w:color="auto"/>
            <w:right w:val="none" w:sz="0" w:space="0" w:color="auto"/>
          </w:divBdr>
        </w:div>
        <w:div w:id="631835881">
          <w:marLeft w:val="547"/>
          <w:marRight w:val="0"/>
          <w:marTop w:val="125"/>
          <w:marBottom w:val="0"/>
          <w:divBdr>
            <w:top w:val="none" w:sz="0" w:space="0" w:color="auto"/>
            <w:left w:val="none" w:sz="0" w:space="0" w:color="auto"/>
            <w:bottom w:val="none" w:sz="0" w:space="0" w:color="auto"/>
            <w:right w:val="none" w:sz="0" w:space="0" w:color="auto"/>
          </w:divBdr>
        </w:div>
        <w:div w:id="631835891">
          <w:marLeft w:val="547"/>
          <w:marRight w:val="0"/>
          <w:marTop w:val="125"/>
          <w:marBottom w:val="0"/>
          <w:divBdr>
            <w:top w:val="none" w:sz="0" w:space="0" w:color="auto"/>
            <w:left w:val="none" w:sz="0" w:space="0" w:color="auto"/>
            <w:bottom w:val="none" w:sz="0" w:space="0" w:color="auto"/>
            <w:right w:val="none" w:sz="0" w:space="0" w:color="auto"/>
          </w:divBdr>
        </w:div>
        <w:div w:id="631835896">
          <w:marLeft w:val="547"/>
          <w:marRight w:val="0"/>
          <w:marTop w:val="125"/>
          <w:marBottom w:val="0"/>
          <w:divBdr>
            <w:top w:val="none" w:sz="0" w:space="0" w:color="auto"/>
            <w:left w:val="none" w:sz="0" w:space="0" w:color="auto"/>
            <w:bottom w:val="none" w:sz="0" w:space="0" w:color="auto"/>
            <w:right w:val="none" w:sz="0" w:space="0" w:color="auto"/>
          </w:divBdr>
        </w:div>
      </w:divsChild>
    </w:div>
    <w:div w:id="631835862">
      <w:marLeft w:val="0"/>
      <w:marRight w:val="0"/>
      <w:marTop w:val="0"/>
      <w:marBottom w:val="0"/>
      <w:divBdr>
        <w:top w:val="none" w:sz="0" w:space="0" w:color="auto"/>
        <w:left w:val="none" w:sz="0" w:space="0" w:color="auto"/>
        <w:bottom w:val="none" w:sz="0" w:space="0" w:color="auto"/>
        <w:right w:val="none" w:sz="0" w:space="0" w:color="auto"/>
      </w:divBdr>
    </w:div>
    <w:div w:id="631835864">
      <w:marLeft w:val="0"/>
      <w:marRight w:val="0"/>
      <w:marTop w:val="0"/>
      <w:marBottom w:val="0"/>
      <w:divBdr>
        <w:top w:val="none" w:sz="0" w:space="0" w:color="auto"/>
        <w:left w:val="none" w:sz="0" w:space="0" w:color="auto"/>
        <w:bottom w:val="none" w:sz="0" w:space="0" w:color="auto"/>
        <w:right w:val="none" w:sz="0" w:space="0" w:color="auto"/>
      </w:divBdr>
    </w:div>
    <w:div w:id="631835865">
      <w:marLeft w:val="0"/>
      <w:marRight w:val="0"/>
      <w:marTop w:val="0"/>
      <w:marBottom w:val="0"/>
      <w:divBdr>
        <w:top w:val="none" w:sz="0" w:space="0" w:color="auto"/>
        <w:left w:val="none" w:sz="0" w:space="0" w:color="auto"/>
        <w:bottom w:val="none" w:sz="0" w:space="0" w:color="auto"/>
        <w:right w:val="none" w:sz="0" w:space="0" w:color="auto"/>
      </w:divBdr>
      <w:divsChild>
        <w:div w:id="631835845">
          <w:marLeft w:val="547"/>
          <w:marRight w:val="0"/>
          <w:marTop w:val="125"/>
          <w:marBottom w:val="0"/>
          <w:divBdr>
            <w:top w:val="none" w:sz="0" w:space="0" w:color="auto"/>
            <w:left w:val="none" w:sz="0" w:space="0" w:color="auto"/>
            <w:bottom w:val="none" w:sz="0" w:space="0" w:color="auto"/>
            <w:right w:val="none" w:sz="0" w:space="0" w:color="auto"/>
          </w:divBdr>
        </w:div>
        <w:div w:id="631835853">
          <w:marLeft w:val="547"/>
          <w:marRight w:val="0"/>
          <w:marTop w:val="125"/>
          <w:marBottom w:val="0"/>
          <w:divBdr>
            <w:top w:val="none" w:sz="0" w:space="0" w:color="auto"/>
            <w:left w:val="none" w:sz="0" w:space="0" w:color="auto"/>
            <w:bottom w:val="none" w:sz="0" w:space="0" w:color="auto"/>
            <w:right w:val="none" w:sz="0" w:space="0" w:color="auto"/>
          </w:divBdr>
        </w:div>
        <w:div w:id="631835867">
          <w:marLeft w:val="547"/>
          <w:marRight w:val="0"/>
          <w:marTop w:val="125"/>
          <w:marBottom w:val="0"/>
          <w:divBdr>
            <w:top w:val="none" w:sz="0" w:space="0" w:color="auto"/>
            <w:left w:val="none" w:sz="0" w:space="0" w:color="auto"/>
            <w:bottom w:val="none" w:sz="0" w:space="0" w:color="auto"/>
            <w:right w:val="none" w:sz="0" w:space="0" w:color="auto"/>
          </w:divBdr>
        </w:div>
        <w:div w:id="631835897">
          <w:marLeft w:val="547"/>
          <w:marRight w:val="0"/>
          <w:marTop w:val="125"/>
          <w:marBottom w:val="0"/>
          <w:divBdr>
            <w:top w:val="none" w:sz="0" w:space="0" w:color="auto"/>
            <w:left w:val="none" w:sz="0" w:space="0" w:color="auto"/>
            <w:bottom w:val="none" w:sz="0" w:space="0" w:color="auto"/>
            <w:right w:val="none" w:sz="0" w:space="0" w:color="auto"/>
          </w:divBdr>
        </w:div>
      </w:divsChild>
    </w:div>
    <w:div w:id="631835866">
      <w:marLeft w:val="0"/>
      <w:marRight w:val="0"/>
      <w:marTop w:val="0"/>
      <w:marBottom w:val="0"/>
      <w:divBdr>
        <w:top w:val="none" w:sz="0" w:space="0" w:color="auto"/>
        <w:left w:val="none" w:sz="0" w:space="0" w:color="auto"/>
        <w:bottom w:val="none" w:sz="0" w:space="0" w:color="auto"/>
        <w:right w:val="none" w:sz="0" w:space="0" w:color="auto"/>
      </w:divBdr>
    </w:div>
    <w:div w:id="631835868">
      <w:marLeft w:val="0"/>
      <w:marRight w:val="0"/>
      <w:marTop w:val="0"/>
      <w:marBottom w:val="0"/>
      <w:divBdr>
        <w:top w:val="none" w:sz="0" w:space="0" w:color="auto"/>
        <w:left w:val="none" w:sz="0" w:space="0" w:color="auto"/>
        <w:bottom w:val="none" w:sz="0" w:space="0" w:color="auto"/>
        <w:right w:val="none" w:sz="0" w:space="0" w:color="auto"/>
      </w:divBdr>
    </w:div>
    <w:div w:id="631835872">
      <w:marLeft w:val="0"/>
      <w:marRight w:val="0"/>
      <w:marTop w:val="0"/>
      <w:marBottom w:val="0"/>
      <w:divBdr>
        <w:top w:val="none" w:sz="0" w:space="0" w:color="auto"/>
        <w:left w:val="none" w:sz="0" w:space="0" w:color="auto"/>
        <w:bottom w:val="none" w:sz="0" w:space="0" w:color="auto"/>
        <w:right w:val="none" w:sz="0" w:space="0" w:color="auto"/>
      </w:divBdr>
    </w:div>
    <w:div w:id="631835873">
      <w:marLeft w:val="0"/>
      <w:marRight w:val="0"/>
      <w:marTop w:val="0"/>
      <w:marBottom w:val="0"/>
      <w:divBdr>
        <w:top w:val="none" w:sz="0" w:space="0" w:color="auto"/>
        <w:left w:val="none" w:sz="0" w:space="0" w:color="auto"/>
        <w:bottom w:val="none" w:sz="0" w:space="0" w:color="auto"/>
        <w:right w:val="none" w:sz="0" w:space="0" w:color="auto"/>
      </w:divBdr>
      <w:divsChild>
        <w:div w:id="631835844">
          <w:marLeft w:val="1195"/>
          <w:marRight w:val="0"/>
          <w:marTop w:val="86"/>
          <w:marBottom w:val="0"/>
          <w:divBdr>
            <w:top w:val="none" w:sz="0" w:space="0" w:color="auto"/>
            <w:left w:val="none" w:sz="0" w:space="0" w:color="auto"/>
            <w:bottom w:val="none" w:sz="0" w:space="0" w:color="auto"/>
            <w:right w:val="none" w:sz="0" w:space="0" w:color="auto"/>
          </w:divBdr>
        </w:div>
        <w:div w:id="631835869">
          <w:marLeft w:val="547"/>
          <w:marRight w:val="0"/>
          <w:marTop w:val="86"/>
          <w:marBottom w:val="0"/>
          <w:divBdr>
            <w:top w:val="none" w:sz="0" w:space="0" w:color="auto"/>
            <w:left w:val="none" w:sz="0" w:space="0" w:color="auto"/>
            <w:bottom w:val="none" w:sz="0" w:space="0" w:color="auto"/>
            <w:right w:val="none" w:sz="0" w:space="0" w:color="auto"/>
          </w:divBdr>
        </w:div>
        <w:div w:id="631835892">
          <w:marLeft w:val="1195"/>
          <w:marRight w:val="0"/>
          <w:marTop w:val="86"/>
          <w:marBottom w:val="0"/>
          <w:divBdr>
            <w:top w:val="none" w:sz="0" w:space="0" w:color="auto"/>
            <w:left w:val="none" w:sz="0" w:space="0" w:color="auto"/>
            <w:bottom w:val="none" w:sz="0" w:space="0" w:color="auto"/>
            <w:right w:val="none" w:sz="0" w:space="0" w:color="auto"/>
          </w:divBdr>
        </w:div>
        <w:div w:id="631835901">
          <w:marLeft w:val="1195"/>
          <w:marRight w:val="0"/>
          <w:marTop w:val="86"/>
          <w:marBottom w:val="0"/>
          <w:divBdr>
            <w:top w:val="none" w:sz="0" w:space="0" w:color="auto"/>
            <w:left w:val="none" w:sz="0" w:space="0" w:color="auto"/>
            <w:bottom w:val="none" w:sz="0" w:space="0" w:color="auto"/>
            <w:right w:val="none" w:sz="0" w:space="0" w:color="auto"/>
          </w:divBdr>
        </w:div>
      </w:divsChild>
    </w:div>
    <w:div w:id="631835874">
      <w:marLeft w:val="0"/>
      <w:marRight w:val="0"/>
      <w:marTop w:val="0"/>
      <w:marBottom w:val="0"/>
      <w:divBdr>
        <w:top w:val="none" w:sz="0" w:space="0" w:color="auto"/>
        <w:left w:val="none" w:sz="0" w:space="0" w:color="auto"/>
        <w:bottom w:val="none" w:sz="0" w:space="0" w:color="auto"/>
        <w:right w:val="none" w:sz="0" w:space="0" w:color="auto"/>
      </w:divBdr>
      <w:divsChild>
        <w:div w:id="631835842">
          <w:marLeft w:val="547"/>
          <w:marRight w:val="0"/>
          <w:marTop w:val="154"/>
          <w:marBottom w:val="0"/>
          <w:divBdr>
            <w:top w:val="none" w:sz="0" w:space="0" w:color="auto"/>
            <w:left w:val="none" w:sz="0" w:space="0" w:color="auto"/>
            <w:bottom w:val="none" w:sz="0" w:space="0" w:color="auto"/>
            <w:right w:val="none" w:sz="0" w:space="0" w:color="auto"/>
          </w:divBdr>
        </w:div>
        <w:div w:id="631835852">
          <w:marLeft w:val="547"/>
          <w:marRight w:val="0"/>
          <w:marTop w:val="154"/>
          <w:marBottom w:val="0"/>
          <w:divBdr>
            <w:top w:val="none" w:sz="0" w:space="0" w:color="auto"/>
            <w:left w:val="none" w:sz="0" w:space="0" w:color="auto"/>
            <w:bottom w:val="none" w:sz="0" w:space="0" w:color="auto"/>
            <w:right w:val="none" w:sz="0" w:space="0" w:color="auto"/>
          </w:divBdr>
        </w:div>
        <w:div w:id="631835876">
          <w:marLeft w:val="547"/>
          <w:marRight w:val="0"/>
          <w:marTop w:val="154"/>
          <w:marBottom w:val="0"/>
          <w:divBdr>
            <w:top w:val="none" w:sz="0" w:space="0" w:color="auto"/>
            <w:left w:val="none" w:sz="0" w:space="0" w:color="auto"/>
            <w:bottom w:val="none" w:sz="0" w:space="0" w:color="auto"/>
            <w:right w:val="none" w:sz="0" w:space="0" w:color="auto"/>
          </w:divBdr>
        </w:div>
        <w:div w:id="631835882">
          <w:marLeft w:val="547"/>
          <w:marRight w:val="0"/>
          <w:marTop w:val="154"/>
          <w:marBottom w:val="0"/>
          <w:divBdr>
            <w:top w:val="none" w:sz="0" w:space="0" w:color="auto"/>
            <w:left w:val="none" w:sz="0" w:space="0" w:color="auto"/>
            <w:bottom w:val="none" w:sz="0" w:space="0" w:color="auto"/>
            <w:right w:val="none" w:sz="0" w:space="0" w:color="auto"/>
          </w:divBdr>
        </w:div>
        <w:div w:id="631835885">
          <w:marLeft w:val="547"/>
          <w:marRight w:val="0"/>
          <w:marTop w:val="154"/>
          <w:marBottom w:val="0"/>
          <w:divBdr>
            <w:top w:val="none" w:sz="0" w:space="0" w:color="auto"/>
            <w:left w:val="none" w:sz="0" w:space="0" w:color="auto"/>
            <w:bottom w:val="none" w:sz="0" w:space="0" w:color="auto"/>
            <w:right w:val="none" w:sz="0" w:space="0" w:color="auto"/>
          </w:divBdr>
        </w:div>
        <w:div w:id="631835886">
          <w:marLeft w:val="547"/>
          <w:marRight w:val="0"/>
          <w:marTop w:val="154"/>
          <w:marBottom w:val="0"/>
          <w:divBdr>
            <w:top w:val="none" w:sz="0" w:space="0" w:color="auto"/>
            <w:left w:val="none" w:sz="0" w:space="0" w:color="auto"/>
            <w:bottom w:val="none" w:sz="0" w:space="0" w:color="auto"/>
            <w:right w:val="none" w:sz="0" w:space="0" w:color="auto"/>
          </w:divBdr>
        </w:div>
      </w:divsChild>
    </w:div>
    <w:div w:id="631835875">
      <w:marLeft w:val="0"/>
      <w:marRight w:val="0"/>
      <w:marTop w:val="0"/>
      <w:marBottom w:val="0"/>
      <w:divBdr>
        <w:top w:val="none" w:sz="0" w:space="0" w:color="auto"/>
        <w:left w:val="none" w:sz="0" w:space="0" w:color="auto"/>
        <w:bottom w:val="none" w:sz="0" w:space="0" w:color="auto"/>
        <w:right w:val="none" w:sz="0" w:space="0" w:color="auto"/>
      </w:divBdr>
    </w:div>
    <w:div w:id="631835877">
      <w:marLeft w:val="0"/>
      <w:marRight w:val="0"/>
      <w:marTop w:val="0"/>
      <w:marBottom w:val="0"/>
      <w:divBdr>
        <w:top w:val="none" w:sz="0" w:space="0" w:color="auto"/>
        <w:left w:val="none" w:sz="0" w:space="0" w:color="auto"/>
        <w:bottom w:val="none" w:sz="0" w:space="0" w:color="auto"/>
        <w:right w:val="none" w:sz="0" w:space="0" w:color="auto"/>
      </w:divBdr>
    </w:div>
    <w:div w:id="631835880">
      <w:marLeft w:val="0"/>
      <w:marRight w:val="0"/>
      <w:marTop w:val="0"/>
      <w:marBottom w:val="0"/>
      <w:divBdr>
        <w:top w:val="none" w:sz="0" w:space="0" w:color="auto"/>
        <w:left w:val="none" w:sz="0" w:space="0" w:color="auto"/>
        <w:bottom w:val="none" w:sz="0" w:space="0" w:color="auto"/>
        <w:right w:val="none" w:sz="0" w:space="0" w:color="auto"/>
      </w:divBdr>
      <w:divsChild>
        <w:div w:id="631835855">
          <w:marLeft w:val="547"/>
          <w:marRight w:val="0"/>
          <w:marTop w:val="125"/>
          <w:marBottom w:val="0"/>
          <w:divBdr>
            <w:top w:val="none" w:sz="0" w:space="0" w:color="auto"/>
            <w:left w:val="none" w:sz="0" w:space="0" w:color="auto"/>
            <w:bottom w:val="none" w:sz="0" w:space="0" w:color="auto"/>
            <w:right w:val="none" w:sz="0" w:space="0" w:color="auto"/>
          </w:divBdr>
        </w:div>
        <w:div w:id="631835859">
          <w:marLeft w:val="1166"/>
          <w:marRight w:val="0"/>
          <w:marTop w:val="125"/>
          <w:marBottom w:val="0"/>
          <w:divBdr>
            <w:top w:val="none" w:sz="0" w:space="0" w:color="auto"/>
            <w:left w:val="none" w:sz="0" w:space="0" w:color="auto"/>
            <w:bottom w:val="none" w:sz="0" w:space="0" w:color="auto"/>
            <w:right w:val="none" w:sz="0" w:space="0" w:color="auto"/>
          </w:divBdr>
        </w:div>
        <w:div w:id="631835871">
          <w:marLeft w:val="1166"/>
          <w:marRight w:val="0"/>
          <w:marTop w:val="125"/>
          <w:marBottom w:val="0"/>
          <w:divBdr>
            <w:top w:val="none" w:sz="0" w:space="0" w:color="auto"/>
            <w:left w:val="none" w:sz="0" w:space="0" w:color="auto"/>
            <w:bottom w:val="none" w:sz="0" w:space="0" w:color="auto"/>
            <w:right w:val="none" w:sz="0" w:space="0" w:color="auto"/>
          </w:divBdr>
        </w:div>
        <w:div w:id="631835878">
          <w:marLeft w:val="1166"/>
          <w:marRight w:val="0"/>
          <w:marTop w:val="125"/>
          <w:marBottom w:val="0"/>
          <w:divBdr>
            <w:top w:val="none" w:sz="0" w:space="0" w:color="auto"/>
            <w:left w:val="none" w:sz="0" w:space="0" w:color="auto"/>
            <w:bottom w:val="none" w:sz="0" w:space="0" w:color="auto"/>
            <w:right w:val="none" w:sz="0" w:space="0" w:color="auto"/>
          </w:divBdr>
        </w:div>
        <w:div w:id="631835887">
          <w:marLeft w:val="1166"/>
          <w:marRight w:val="0"/>
          <w:marTop w:val="125"/>
          <w:marBottom w:val="0"/>
          <w:divBdr>
            <w:top w:val="none" w:sz="0" w:space="0" w:color="auto"/>
            <w:left w:val="none" w:sz="0" w:space="0" w:color="auto"/>
            <w:bottom w:val="none" w:sz="0" w:space="0" w:color="auto"/>
            <w:right w:val="none" w:sz="0" w:space="0" w:color="auto"/>
          </w:divBdr>
        </w:div>
        <w:div w:id="631835893">
          <w:marLeft w:val="547"/>
          <w:marRight w:val="0"/>
          <w:marTop w:val="125"/>
          <w:marBottom w:val="0"/>
          <w:divBdr>
            <w:top w:val="none" w:sz="0" w:space="0" w:color="auto"/>
            <w:left w:val="none" w:sz="0" w:space="0" w:color="auto"/>
            <w:bottom w:val="none" w:sz="0" w:space="0" w:color="auto"/>
            <w:right w:val="none" w:sz="0" w:space="0" w:color="auto"/>
          </w:divBdr>
        </w:div>
        <w:div w:id="631835894">
          <w:marLeft w:val="1166"/>
          <w:marRight w:val="0"/>
          <w:marTop w:val="125"/>
          <w:marBottom w:val="0"/>
          <w:divBdr>
            <w:top w:val="none" w:sz="0" w:space="0" w:color="auto"/>
            <w:left w:val="none" w:sz="0" w:space="0" w:color="auto"/>
            <w:bottom w:val="none" w:sz="0" w:space="0" w:color="auto"/>
            <w:right w:val="none" w:sz="0" w:space="0" w:color="auto"/>
          </w:divBdr>
        </w:div>
      </w:divsChild>
    </w:div>
    <w:div w:id="631835888">
      <w:marLeft w:val="0"/>
      <w:marRight w:val="0"/>
      <w:marTop w:val="0"/>
      <w:marBottom w:val="0"/>
      <w:divBdr>
        <w:top w:val="none" w:sz="0" w:space="0" w:color="auto"/>
        <w:left w:val="none" w:sz="0" w:space="0" w:color="auto"/>
        <w:bottom w:val="none" w:sz="0" w:space="0" w:color="auto"/>
        <w:right w:val="none" w:sz="0" w:space="0" w:color="auto"/>
      </w:divBdr>
    </w:div>
    <w:div w:id="631835889">
      <w:marLeft w:val="0"/>
      <w:marRight w:val="0"/>
      <w:marTop w:val="0"/>
      <w:marBottom w:val="0"/>
      <w:divBdr>
        <w:top w:val="none" w:sz="0" w:space="0" w:color="auto"/>
        <w:left w:val="none" w:sz="0" w:space="0" w:color="auto"/>
        <w:bottom w:val="none" w:sz="0" w:space="0" w:color="auto"/>
        <w:right w:val="none" w:sz="0" w:space="0" w:color="auto"/>
      </w:divBdr>
    </w:div>
    <w:div w:id="631835890">
      <w:marLeft w:val="0"/>
      <w:marRight w:val="0"/>
      <w:marTop w:val="0"/>
      <w:marBottom w:val="0"/>
      <w:divBdr>
        <w:top w:val="none" w:sz="0" w:space="0" w:color="auto"/>
        <w:left w:val="none" w:sz="0" w:space="0" w:color="auto"/>
        <w:bottom w:val="none" w:sz="0" w:space="0" w:color="auto"/>
        <w:right w:val="none" w:sz="0" w:space="0" w:color="auto"/>
      </w:divBdr>
    </w:div>
    <w:div w:id="631835895">
      <w:marLeft w:val="0"/>
      <w:marRight w:val="0"/>
      <w:marTop w:val="0"/>
      <w:marBottom w:val="0"/>
      <w:divBdr>
        <w:top w:val="none" w:sz="0" w:space="0" w:color="auto"/>
        <w:left w:val="none" w:sz="0" w:space="0" w:color="auto"/>
        <w:bottom w:val="none" w:sz="0" w:space="0" w:color="auto"/>
        <w:right w:val="none" w:sz="0" w:space="0" w:color="auto"/>
      </w:divBdr>
    </w:div>
    <w:div w:id="631835898">
      <w:marLeft w:val="0"/>
      <w:marRight w:val="0"/>
      <w:marTop w:val="0"/>
      <w:marBottom w:val="0"/>
      <w:divBdr>
        <w:top w:val="none" w:sz="0" w:space="0" w:color="auto"/>
        <w:left w:val="none" w:sz="0" w:space="0" w:color="auto"/>
        <w:bottom w:val="none" w:sz="0" w:space="0" w:color="auto"/>
        <w:right w:val="none" w:sz="0" w:space="0" w:color="auto"/>
      </w:divBdr>
    </w:div>
    <w:div w:id="631835899">
      <w:marLeft w:val="0"/>
      <w:marRight w:val="0"/>
      <w:marTop w:val="0"/>
      <w:marBottom w:val="0"/>
      <w:divBdr>
        <w:top w:val="none" w:sz="0" w:space="0" w:color="auto"/>
        <w:left w:val="none" w:sz="0" w:space="0" w:color="auto"/>
        <w:bottom w:val="none" w:sz="0" w:space="0" w:color="auto"/>
        <w:right w:val="none" w:sz="0" w:space="0" w:color="auto"/>
      </w:divBdr>
    </w:div>
    <w:div w:id="6318359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oleObject" Target="embeddings/oleObject6.bin"/><Relationship Id="rId26" Type="http://schemas.openxmlformats.org/officeDocument/2006/relationships/oleObject" Target="embeddings/oleObject10.bin"/><Relationship Id="rId39" Type="http://schemas.openxmlformats.org/officeDocument/2006/relationships/oleObject" Target="embeddings/oleObject16.bin"/><Relationship Id="rId21" Type="http://schemas.openxmlformats.org/officeDocument/2006/relationships/image" Target="media/image9.png"/><Relationship Id="rId34" Type="http://schemas.openxmlformats.org/officeDocument/2006/relationships/image" Target="media/image16.png"/><Relationship Id="rId42" Type="http://schemas.openxmlformats.org/officeDocument/2006/relationships/image" Target="media/image20.png"/><Relationship Id="rId47" Type="http://schemas.openxmlformats.org/officeDocument/2006/relationships/oleObject" Target="embeddings/oleObject20.bin"/><Relationship Id="rId50" Type="http://schemas.openxmlformats.org/officeDocument/2006/relationships/image" Target="media/image24.png"/><Relationship Id="rId55" Type="http://schemas.openxmlformats.org/officeDocument/2006/relationships/oleObject" Target="embeddings/oleObject24.bin"/><Relationship Id="rId63" Type="http://schemas.openxmlformats.org/officeDocument/2006/relationships/image" Target="media/image31.png"/><Relationship Id="rId68" Type="http://schemas.openxmlformats.org/officeDocument/2006/relationships/oleObject" Target="embeddings/oleObject30.bin"/><Relationship Id="rId76" Type="http://schemas.openxmlformats.org/officeDocument/2006/relationships/image" Target="media/image39.png"/><Relationship Id="rId84" Type="http://schemas.openxmlformats.org/officeDocument/2006/relationships/oleObject" Target="embeddings/oleObject35.bin"/><Relationship Id="rId89" Type="http://schemas.openxmlformats.org/officeDocument/2006/relationships/fontTable" Target="fontTable.xml"/><Relationship Id="rId7" Type="http://schemas.openxmlformats.org/officeDocument/2006/relationships/image" Target="media/image2.png"/><Relationship Id="rId71" Type="http://schemas.openxmlformats.org/officeDocument/2006/relationships/image" Target="media/image35.png"/><Relationship Id="rId2" Type="http://schemas.openxmlformats.org/officeDocument/2006/relationships/styles" Target="styles.xml"/><Relationship Id="rId16" Type="http://schemas.openxmlformats.org/officeDocument/2006/relationships/oleObject" Target="embeddings/oleObject5.bin"/><Relationship Id="rId29" Type="http://schemas.openxmlformats.org/officeDocument/2006/relationships/image" Target="media/image13.png"/><Relationship Id="rId11" Type="http://schemas.openxmlformats.org/officeDocument/2006/relationships/image" Target="media/image4.png"/><Relationship Id="rId24" Type="http://schemas.openxmlformats.org/officeDocument/2006/relationships/oleObject" Target="embeddings/oleObject9.bin"/><Relationship Id="rId32" Type="http://schemas.openxmlformats.org/officeDocument/2006/relationships/image" Target="media/image15.png"/><Relationship Id="rId37" Type="http://schemas.openxmlformats.org/officeDocument/2006/relationships/oleObject" Target="embeddings/oleObject15.bin"/><Relationship Id="rId40" Type="http://schemas.openxmlformats.org/officeDocument/2006/relationships/image" Target="media/image19.png"/><Relationship Id="rId45" Type="http://schemas.openxmlformats.org/officeDocument/2006/relationships/oleObject" Target="embeddings/oleObject19.bin"/><Relationship Id="rId53" Type="http://schemas.openxmlformats.org/officeDocument/2006/relationships/oleObject" Target="embeddings/oleObject23.bin"/><Relationship Id="rId58" Type="http://schemas.openxmlformats.org/officeDocument/2006/relationships/image" Target="media/image28.emf"/><Relationship Id="rId66" Type="http://schemas.openxmlformats.org/officeDocument/2006/relationships/oleObject" Target="embeddings/oleObject29.bin"/><Relationship Id="rId74" Type="http://schemas.openxmlformats.org/officeDocument/2006/relationships/image" Target="media/image37.png"/><Relationship Id="rId79" Type="http://schemas.openxmlformats.org/officeDocument/2006/relationships/image" Target="media/image41.png"/><Relationship Id="rId87" Type="http://schemas.openxmlformats.org/officeDocument/2006/relationships/footer" Target="footer2.xml"/><Relationship Id="rId5" Type="http://schemas.openxmlformats.org/officeDocument/2006/relationships/footnotes" Target="footnotes.xml"/><Relationship Id="rId61" Type="http://schemas.openxmlformats.org/officeDocument/2006/relationships/image" Target="media/image30.png"/><Relationship Id="rId82" Type="http://schemas.openxmlformats.org/officeDocument/2006/relationships/oleObject" Target="embeddings/oleObject34.bin"/><Relationship Id="rId90" Type="http://schemas.openxmlformats.org/officeDocument/2006/relationships/theme" Target="theme/theme1.xml"/><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oleObject" Target="embeddings/oleObject4.bin"/><Relationship Id="rId22" Type="http://schemas.openxmlformats.org/officeDocument/2006/relationships/oleObject" Target="embeddings/oleObject8.bin"/><Relationship Id="rId27" Type="http://schemas.openxmlformats.org/officeDocument/2006/relationships/image" Target="media/image12.png"/><Relationship Id="rId30" Type="http://schemas.openxmlformats.org/officeDocument/2006/relationships/oleObject" Target="embeddings/oleObject12.bin"/><Relationship Id="rId35" Type="http://schemas.openxmlformats.org/officeDocument/2006/relationships/oleObject" Target="embeddings/oleObject14.bin"/><Relationship Id="rId43" Type="http://schemas.openxmlformats.org/officeDocument/2006/relationships/oleObject" Target="embeddings/oleObject18.bin"/><Relationship Id="rId48" Type="http://schemas.openxmlformats.org/officeDocument/2006/relationships/image" Target="media/image23.png"/><Relationship Id="rId56" Type="http://schemas.openxmlformats.org/officeDocument/2006/relationships/image" Target="media/image27.png"/><Relationship Id="rId64" Type="http://schemas.openxmlformats.org/officeDocument/2006/relationships/oleObject" Target="embeddings/oleObject28.bin"/><Relationship Id="rId69" Type="http://schemas.openxmlformats.org/officeDocument/2006/relationships/image" Target="media/image34.png"/><Relationship Id="rId77" Type="http://schemas.openxmlformats.org/officeDocument/2006/relationships/oleObject" Target="embeddings/oleObject33.bin"/><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6.png"/><Relationship Id="rId80" Type="http://schemas.openxmlformats.org/officeDocument/2006/relationships/image" Target="media/image42.emf"/><Relationship Id="rId85"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oleObject" Target="embeddings/oleObject3.bin"/><Relationship Id="rId17" Type="http://schemas.openxmlformats.org/officeDocument/2006/relationships/image" Target="media/image7.png"/><Relationship Id="rId25" Type="http://schemas.openxmlformats.org/officeDocument/2006/relationships/image" Target="media/image11.png"/><Relationship Id="rId33" Type="http://schemas.openxmlformats.org/officeDocument/2006/relationships/oleObject" Target="embeddings/oleObject13.bin"/><Relationship Id="rId38" Type="http://schemas.openxmlformats.org/officeDocument/2006/relationships/image" Target="media/image18.png"/><Relationship Id="rId46" Type="http://schemas.openxmlformats.org/officeDocument/2006/relationships/image" Target="media/image22.png"/><Relationship Id="rId59" Type="http://schemas.openxmlformats.org/officeDocument/2006/relationships/image" Target="media/image29.png"/><Relationship Id="rId67" Type="http://schemas.openxmlformats.org/officeDocument/2006/relationships/image" Target="media/image33.png"/><Relationship Id="rId20" Type="http://schemas.openxmlformats.org/officeDocument/2006/relationships/oleObject" Target="embeddings/oleObject7.bin"/><Relationship Id="rId41" Type="http://schemas.openxmlformats.org/officeDocument/2006/relationships/oleObject" Target="embeddings/oleObject17.bin"/><Relationship Id="rId54" Type="http://schemas.openxmlformats.org/officeDocument/2006/relationships/image" Target="media/image26.png"/><Relationship Id="rId62" Type="http://schemas.openxmlformats.org/officeDocument/2006/relationships/oleObject" Target="embeddings/oleObject27.bin"/><Relationship Id="rId70" Type="http://schemas.openxmlformats.org/officeDocument/2006/relationships/oleObject" Target="embeddings/oleObject31.bin"/><Relationship Id="rId75" Type="http://schemas.openxmlformats.org/officeDocument/2006/relationships/image" Target="media/image38.png"/><Relationship Id="rId83" Type="http://schemas.openxmlformats.org/officeDocument/2006/relationships/image" Target="media/image44.png"/><Relationship Id="rId88" Type="http://schemas.openxmlformats.org/officeDocument/2006/relationships/footer" Target="footer3.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0.png"/><Relationship Id="rId28" Type="http://schemas.openxmlformats.org/officeDocument/2006/relationships/oleObject" Target="embeddings/oleObject11.bin"/><Relationship Id="rId36" Type="http://schemas.openxmlformats.org/officeDocument/2006/relationships/image" Target="media/image17.png"/><Relationship Id="rId49" Type="http://schemas.openxmlformats.org/officeDocument/2006/relationships/oleObject" Target="embeddings/oleObject21.bin"/><Relationship Id="rId57" Type="http://schemas.openxmlformats.org/officeDocument/2006/relationships/oleObject" Target="embeddings/oleObject25.bin"/><Relationship Id="rId10" Type="http://schemas.openxmlformats.org/officeDocument/2006/relationships/oleObject" Target="embeddings/oleObject2.bin"/><Relationship Id="rId31" Type="http://schemas.openxmlformats.org/officeDocument/2006/relationships/image" Target="media/image14.emf"/><Relationship Id="rId44" Type="http://schemas.openxmlformats.org/officeDocument/2006/relationships/image" Target="media/image21.png"/><Relationship Id="rId52" Type="http://schemas.openxmlformats.org/officeDocument/2006/relationships/image" Target="media/image25.png"/><Relationship Id="rId60" Type="http://schemas.openxmlformats.org/officeDocument/2006/relationships/oleObject" Target="embeddings/oleObject26.bin"/><Relationship Id="rId65" Type="http://schemas.openxmlformats.org/officeDocument/2006/relationships/image" Target="media/image32.png"/><Relationship Id="rId73" Type="http://schemas.openxmlformats.org/officeDocument/2006/relationships/oleObject" Target="embeddings/oleObject32.bin"/><Relationship Id="rId78" Type="http://schemas.openxmlformats.org/officeDocument/2006/relationships/image" Target="media/image40.emf"/><Relationship Id="rId81" Type="http://schemas.openxmlformats.org/officeDocument/2006/relationships/image" Target="media/image43.png"/><Relationship Id="rId86" Type="http://schemas.openxmlformats.org/officeDocument/2006/relationships/footer" Target="footer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99</Pages>
  <Words>22404</Words>
  <Characters>-32766</Characters>
  <Application>Microsoft Office Outlook</Application>
  <DocSecurity>0</DocSecurity>
  <Lines>0</Lines>
  <Paragraphs>0</Paragraphs>
  <ScaleCrop>false</ScaleCrop>
  <Company>ivl GmbH</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Vorschlag zur inhaltlichen Gliederung</dc:title>
  <dc:subject/>
  <dc:creator>stv-51-dohmen</dc:creator>
  <cp:keywords/>
  <dc:description/>
  <cp:lastModifiedBy>STV-50-VOGT</cp:lastModifiedBy>
  <cp:revision>22</cp:revision>
  <cp:lastPrinted>2010-03-16T17:20:00Z</cp:lastPrinted>
  <dcterms:created xsi:type="dcterms:W3CDTF">2010-03-16T16:25:00Z</dcterms:created>
  <dcterms:modified xsi:type="dcterms:W3CDTF">2010-03-17T16:20:00Z</dcterms:modified>
</cp:coreProperties>
</file>